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6FBC" w14:textId="77777777" w:rsidR="003D4C99" w:rsidRDefault="00000000">
      <w:pPr>
        <w:spacing w:before="2200"/>
        <w:jc w:val="center"/>
      </w:pPr>
      <w:r>
        <w:rPr>
          <w:rFonts w:ascii="Georgia" w:eastAsia="Georgia" w:hAnsi="Georgia" w:cs="Georgia"/>
          <w:b/>
          <w:bCs/>
          <w:color w:val="B08D3D"/>
          <w:sz w:val="26"/>
          <w:szCs w:val="26"/>
        </w:rPr>
        <w:t>ADEX 547</w:t>
      </w:r>
    </w:p>
    <w:p w14:paraId="79FB4BCC" w14:textId="77777777" w:rsidR="003D4C99" w:rsidRDefault="00000000">
      <w:pPr>
        <w:spacing w:before="200"/>
        <w:jc w:val="center"/>
      </w:pPr>
      <w:r>
        <w:rPr>
          <w:rFonts w:ascii="Calibri" w:eastAsia="Calibri" w:hAnsi="Calibri" w:cs="Calibri"/>
          <w:color w:val="5A5A5A"/>
          <w:sz w:val="22"/>
          <w:szCs w:val="22"/>
        </w:rPr>
        <w:t>Corporate Strategy, Portfolio and Investment Leadership</w:t>
      </w:r>
    </w:p>
    <w:p w14:paraId="3897BC68" w14:textId="77777777" w:rsidR="003D4C99" w:rsidRDefault="00000000">
      <w:pPr>
        <w:spacing w:before="600" w:after="200"/>
        <w:jc w:val="center"/>
      </w:pPr>
      <w:r>
        <w:rPr>
          <w:rFonts w:ascii="Georgia" w:eastAsia="Georgia" w:hAnsi="Georgia" w:cs="Georgia"/>
          <w:b/>
          <w:bCs/>
          <w:color w:val="0B1E39"/>
          <w:sz w:val="42"/>
          <w:szCs w:val="42"/>
        </w:rPr>
        <w:t>Course Overview &amp; Module Guide</w:t>
      </w:r>
    </w:p>
    <w:p w14:paraId="3023BFD1" w14:textId="77777777" w:rsidR="003D4C99" w:rsidRDefault="00000000">
      <w:pPr>
        <w:spacing w:before="100"/>
        <w:jc w:val="center"/>
      </w:pPr>
      <w:proofErr w:type="spellStart"/>
      <w:r>
        <w:rPr>
          <w:rFonts w:ascii="Calibri" w:eastAsia="Calibri" w:hAnsi="Calibri" w:cs="Calibri"/>
          <w:i/>
          <w:iCs/>
          <w:color w:val="5A5A5A"/>
          <w:sz w:val="22"/>
          <w:szCs w:val="22"/>
        </w:rPr>
        <w:t>Boğaziçi</w:t>
      </w:r>
      <w:proofErr w:type="spellEnd"/>
      <w:r>
        <w:rPr>
          <w:rFonts w:ascii="Calibri" w:eastAsia="Calibri" w:hAnsi="Calibri" w:cs="Calibri"/>
          <w:i/>
          <w:iCs/>
          <w:color w:val="5A5A5A"/>
          <w:sz w:val="22"/>
          <w:szCs w:val="22"/>
        </w:rPr>
        <w:t xml:space="preserve"> University Executive MBA Program · Summer 2026</w:t>
      </w:r>
    </w:p>
    <w:p w14:paraId="66828D30" w14:textId="77777777" w:rsidR="003D4C99" w:rsidRDefault="003D4C99">
      <w:pPr>
        <w:pBdr>
          <w:top w:val="single" w:sz="4" w:space="8" w:color="B08D3D"/>
        </w:pBdr>
        <w:spacing w:before="1000"/>
        <w:jc w:val="center"/>
      </w:pPr>
    </w:p>
    <w:p w14:paraId="396F6997" w14:textId="77777777" w:rsidR="003D4C99" w:rsidRDefault="00000000">
      <w:pPr>
        <w:spacing w:before="300"/>
        <w:jc w:val="center"/>
        <w:rPr>
          <w:rFonts w:ascii="Calibri" w:eastAsia="Calibri" w:hAnsi="Calibri" w:cs="Calibri"/>
          <w:b/>
          <w:bCs/>
          <w:color w:val="13294B"/>
          <w:sz w:val="22"/>
          <w:szCs w:val="22"/>
        </w:rPr>
      </w:pPr>
      <w:r>
        <w:rPr>
          <w:rFonts w:ascii="Calibri" w:eastAsia="Calibri" w:hAnsi="Calibri" w:cs="Calibri"/>
          <w:b/>
          <w:bCs/>
          <w:color w:val="13294B"/>
          <w:sz w:val="22"/>
          <w:szCs w:val="22"/>
        </w:rPr>
        <w:t>Instructor: Hakan Göral</w:t>
      </w:r>
    </w:p>
    <w:p w14:paraId="613D1466" w14:textId="7F4470B5" w:rsidR="00270215" w:rsidRDefault="00270215">
      <w:pPr>
        <w:rPr>
          <w:rFonts w:ascii="Calibri" w:eastAsia="Calibri" w:hAnsi="Calibri" w:cs="Calibri"/>
          <w:b/>
          <w:bCs/>
          <w:color w:val="13294B"/>
          <w:sz w:val="22"/>
          <w:szCs w:val="22"/>
        </w:rPr>
      </w:pPr>
      <w:r>
        <w:rPr>
          <w:rFonts w:ascii="Calibri" w:eastAsia="Calibri" w:hAnsi="Calibri" w:cs="Calibri"/>
          <w:b/>
          <w:bCs/>
          <w:color w:val="13294B"/>
          <w:sz w:val="22"/>
          <w:szCs w:val="22"/>
        </w:rPr>
        <w:br w:type="page"/>
      </w:r>
    </w:p>
    <w:p w14:paraId="7FA4BFEB" w14:textId="77777777" w:rsidR="00270215" w:rsidRDefault="00270215">
      <w:pPr>
        <w:spacing w:before="300"/>
        <w:jc w:val="center"/>
      </w:pPr>
    </w:p>
    <w:p w14:paraId="67AA0DF7" w14:textId="77777777" w:rsidR="003D4C99" w:rsidRDefault="00000000">
      <w:pPr>
        <w:pStyle w:val="Heading1"/>
        <w:pBdr>
          <w:bottom w:val="single" w:sz="6" w:space="4" w:color="B08D3D"/>
        </w:pBdr>
        <w:spacing w:before="320" w:after="160"/>
      </w:pPr>
      <w:r>
        <w:rPr>
          <w:rFonts w:ascii="Georgia" w:eastAsia="Georgia" w:hAnsi="Georgia" w:cs="Georgia"/>
          <w:b/>
          <w:bCs/>
          <w:color w:val="0B1E39"/>
          <w:sz w:val="30"/>
          <w:szCs w:val="30"/>
        </w:rPr>
        <w:t>What This Course Is About</w:t>
      </w:r>
    </w:p>
    <w:p w14:paraId="01E6AA81" w14:textId="77777777" w:rsidR="003D4C99" w:rsidRDefault="00000000">
      <w:pPr>
        <w:spacing w:after="140"/>
      </w:pPr>
      <w:r>
        <w:rPr>
          <w:rFonts w:ascii="Calibri" w:eastAsia="Calibri" w:hAnsi="Calibri" w:cs="Calibri"/>
          <w:color w:val="1A1A1A"/>
          <w:sz w:val="21"/>
          <w:szCs w:val="21"/>
        </w:rPr>
        <w:t>ADEX 547 examines corporate strategy through a governance-centered, capital-allocation lens, focused on publicly listed and multi-business organizations. It brings together corporate portfolio management, mergers and acquisitions, investment decision processes, regulatory oversight, ESG accountability, and artificial intelligence governance into a single, coherent framework for strategic decision-making.</w:t>
      </w:r>
    </w:p>
    <w:p w14:paraId="0927CE50" w14:textId="77777777" w:rsidR="003D4C99" w:rsidRDefault="00000000">
      <w:pPr>
        <w:spacing w:after="140"/>
      </w:pPr>
      <w:r>
        <w:rPr>
          <w:rFonts w:ascii="Calibri" w:eastAsia="Calibri" w:hAnsi="Calibri" w:cs="Calibri"/>
          <w:color w:val="1A1A1A"/>
          <w:sz w:val="21"/>
          <w:szCs w:val="21"/>
        </w:rPr>
        <w:t xml:space="preserve">The course treats governance not as a compliance checkbox, but as the structural mechanism that shapes how strategic and investment decisions are evaluated, approved, disclosed, monitored, and ultimately defended in capital markets. </w:t>
      </w:r>
      <w:proofErr w:type="gramStart"/>
      <w:r>
        <w:rPr>
          <w:rFonts w:ascii="Calibri" w:eastAsia="Calibri" w:hAnsi="Calibri" w:cs="Calibri"/>
          <w:color w:val="1A1A1A"/>
          <w:sz w:val="21"/>
          <w:szCs w:val="21"/>
        </w:rPr>
        <w:t>Particular attention</w:t>
      </w:r>
      <w:proofErr w:type="gramEnd"/>
      <w:r>
        <w:rPr>
          <w:rFonts w:ascii="Calibri" w:eastAsia="Calibri" w:hAnsi="Calibri" w:cs="Calibri"/>
          <w:color w:val="1A1A1A"/>
          <w:sz w:val="21"/>
          <w:szCs w:val="21"/>
        </w:rPr>
        <w:t xml:space="preserve"> is given to Capital Markets Board (SPK) oversight, minority shareholder rights, fiduciary responsibility, ESG reporting, and AI-related governance risk — all grounded in the realities of Turkish capital markets alongside international theory and practice.</w:t>
      </w:r>
    </w:p>
    <w:p w14:paraId="5722966D" w14:textId="77777777" w:rsidR="003D4C99" w:rsidRDefault="00000000">
      <w:pPr>
        <w:spacing w:after="140"/>
      </w:pPr>
      <w:r>
        <w:rPr>
          <w:rFonts w:ascii="Calibri" w:eastAsia="Calibri" w:hAnsi="Calibri" w:cs="Calibri"/>
          <w:color w:val="1A1A1A"/>
          <w:sz w:val="21"/>
          <w:szCs w:val="21"/>
        </w:rPr>
        <w:t xml:space="preserve">Across the six sessions, the course follows a single throughline: how capital is allocated, how that allocation is governed, how it is disclosed to markets, how it is defended under scrutiny, how it is monitored over time, and how all of this is </w:t>
      </w:r>
      <w:proofErr w:type="spellStart"/>
      <w:r>
        <w:rPr>
          <w:rFonts w:ascii="Calibri" w:eastAsia="Calibri" w:hAnsi="Calibri" w:cs="Calibri"/>
          <w:color w:val="1A1A1A"/>
          <w:sz w:val="21"/>
          <w:szCs w:val="21"/>
        </w:rPr>
        <w:t>synthesised</w:t>
      </w:r>
      <w:proofErr w:type="spellEnd"/>
      <w:r>
        <w:rPr>
          <w:rFonts w:ascii="Calibri" w:eastAsia="Calibri" w:hAnsi="Calibri" w:cs="Calibri"/>
          <w:color w:val="1A1A1A"/>
          <w:sz w:val="21"/>
          <w:szCs w:val="21"/>
        </w:rPr>
        <w:t xml:space="preserve"> into a board-level recommendation.</w:t>
      </w:r>
    </w:p>
    <w:p w14:paraId="64F1A961" w14:textId="77777777" w:rsidR="003D4C99" w:rsidRDefault="00000000">
      <w:pPr>
        <w:pStyle w:val="Heading2"/>
        <w:spacing w:before="320" w:after="160"/>
      </w:pPr>
      <w:r>
        <w:rPr>
          <w:rFonts w:ascii="Georgia" w:eastAsia="Georgia" w:hAnsi="Georgia" w:cs="Georgia"/>
          <w:b/>
          <w:bCs/>
          <w:color w:val="13294B"/>
          <w:sz w:val="24"/>
          <w:szCs w:val="24"/>
        </w:rPr>
        <w:t>Learning Objectives</w:t>
      </w:r>
    </w:p>
    <w:p w14:paraId="25FBDE55" w14:textId="77777777" w:rsidR="003D4C99" w:rsidRDefault="00000000">
      <w:pPr>
        <w:spacing w:before="60" w:after="180"/>
      </w:pPr>
      <w:r>
        <w:rPr>
          <w:rFonts w:ascii="Calibri" w:eastAsia="Calibri" w:hAnsi="Calibri" w:cs="Calibri"/>
          <w:i/>
          <w:iCs/>
          <w:color w:val="5A5A5A"/>
        </w:rPr>
        <w:t>By the end of the course, you will be able to:</w:t>
      </w:r>
    </w:p>
    <w:p w14:paraId="4A8D3287" w14:textId="77777777" w:rsidR="003D4C99" w:rsidRDefault="00000000">
      <w:pPr>
        <w:pStyle w:val="ListParagraph"/>
        <w:numPr>
          <w:ilvl w:val="0"/>
          <w:numId w:val="1"/>
        </w:numPr>
        <w:spacing w:after="90"/>
      </w:pPr>
      <w:r>
        <w:rPr>
          <w:rFonts w:ascii="Calibri" w:eastAsia="Calibri" w:hAnsi="Calibri" w:cs="Calibri"/>
          <w:color w:val="1A1A1A"/>
          <w:sz w:val="21"/>
          <w:szCs w:val="21"/>
        </w:rPr>
        <w:t>Evaluate corporate portfolio configuration and diversification strategies.</w:t>
      </w:r>
    </w:p>
    <w:p w14:paraId="25D8421B" w14:textId="77777777" w:rsidR="003D4C99" w:rsidRDefault="00000000">
      <w:pPr>
        <w:pStyle w:val="ListParagraph"/>
        <w:numPr>
          <w:ilvl w:val="0"/>
          <w:numId w:val="1"/>
        </w:numPr>
        <w:spacing w:after="90"/>
      </w:pPr>
      <w:r>
        <w:rPr>
          <w:rFonts w:ascii="Calibri" w:eastAsia="Calibri" w:hAnsi="Calibri" w:cs="Calibri"/>
          <w:color w:val="1A1A1A"/>
          <w:sz w:val="21"/>
          <w:szCs w:val="21"/>
        </w:rPr>
        <w:t>Analyze capital allocation decisions within strategic and regulatory constraints.</w:t>
      </w:r>
    </w:p>
    <w:p w14:paraId="746CD036" w14:textId="77777777" w:rsidR="003D4C99" w:rsidRDefault="00000000">
      <w:pPr>
        <w:pStyle w:val="ListParagraph"/>
        <w:numPr>
          <w:ilvl w:val="0"/>
          <w:numId w:val="1"/>
        </w:numPr>
        <w:spacing w:after="90"/>
      </w:pPr>
      <w:r>
        <w:rPr>
          <w:rFonts w:ascii="Calibri" w:eastAsia="Calibri" w:hAnsi="Calibri" w:cs="Calibri"/>
          <w:color w:val="1A1A1A"/>
          <w:sz w:val="21"/>
          <w:szCs w:val="21"/>
        </w:rPr>
        <w:t>Assess mergers and acquisitions from valuation, governance, and minority shareholder perspectives.</w:t>
      </w:r>
    </w:p>
    <w:p w14:paraId="0D7C8F9F" w14:textId="77777777" w:rsidR="003D4C99" w:rsidRDefault="00000000">
      <w:pPr>
        <w:pStyle w:val="ListParagraph"/>
        <w:numPr>
          <w:ilvl w:val="0"/>
          <w:numId w:val="1"/>
        </w:numPr>
        <w:spacing w:after="90"/>
      </w:pPr>
      <w:r>
        <w:rPr>
          <w:rFonts w:ascii="Calibri" w:eastAsia="Calibri" w:hAnsi="Calibri" w:cs="Calibri"/>
          <w:color w:val="1A1A1A"/>
          <w:sz w:val="21"/>
          <w:szCs w:val="21"/>
        </w:rPr>
        <w:t>Interpret disclosure and regulatory obligations in major investment decisions.</w:t>
      </w:r>
    </w:p>
    <w:p w14:paraId="7E9E7EBB" w14:textId="77777777" w:rsidR="003D4C99" w:rsidRDefault="00000000">
      <w:pPr>
        <w:pStyle w:val="ListParagraph"/>
        <w:numPr>
          <w:ilvl w:val="0"/>
          <w:numId w:val="1"/>
        </w:numPr>
        <w:spacing w:after="90"/>
      </w:pPr>
      <w:r>
        <w:rPr>
          <w:rFonts w:ascii="Calibri" w:eastAsia="Calibri" w:hAnsi="Calibri" w:cs="Calibri"/>
          <w:color w:val="1A1A1A"/>
          <w:sz w:val="21"/>
          <w:szCs w:val="21"/>
        </w:rPr>
        <w:t>Integrate ESG and AI governance considerations into corporate portfolio and investment evaluation.</w:t>
      </w:r>
    </w:p>
    <w:p w14:paraId="2170C013" w14:textId="77777777" w:rsidR="003D4C99" w:rsidRDefault="00000000">
      <w:pPr>
        <w:pStyle w:val="ListParagraph"/>
        <w:numPr>
          <w:ilvl w:val="0"/>
          <w:numId w:val="1"/>
        </w:numPr>
        <w:spacing w:after="90"/>
      </w:pPr>
      <w:r>
        <w:rPr>
          <w:rFonts w:ascii="Calibri" w:eastAsia="Calibri" w:hAnsi="Calibri" w:cs="Calibri"/>
          <w:color w:val="1A1A1A"/>
          <w:sz w:val="21"/>
          <w:szCs w:val="21"/>
        </w:rPr>
        <w:t>Contribute effectively to board-level discussions on corporate strategy, accountability, and capital market positioning.</w:t>
      </w:r>
    </w:p>
    <w:p w14:paraId="7D85615B" w14:textId="77777777" w:rsidR="003D4C99" w:rsidRDefault="00000000">
      <w:r>
        <w:br w:type="page"/>
      </w:r>
    </w:p>
    <w:p w14:paraId="00F4D2B4" w14:textId="77777777" w:rsidR="003D4C99" w:rsidRDefault="00000000">
      <w:pPr>
        <w:pStyle w:val="Heading1"/>
        <w:pBdr>
          <w:bottom w:val="single" w:sz="6" w:space="4" w:color="B08D3D"/>
        </w:pBdr>
        <w:spacing w:before="320" w:after="160"/>
      </w:pPr>
      <w:r>
        <w:rPr>
          <w:rFonts w:ascii="Georgia" w:eastAsia="Georgia" w:hAnsi="Georgia" w:cs="Georgia"/>
          <w:b/>
          <w:bCs/>
          <w:color w:val="0B1E39"/>
          <w:sz w:val="30"/>
          <w:szCs w:val="30"/>
        </w:rPr>
        <w:lastRenderedPageBreak/>
        <w:t>How the Modules Will Work</w:t>
      </w:r>
    </w:p>
    <w:p w14:paraId="4B43F392" w14:textId="77777777" w:rsidR="003D4C99" w:rsidRDefault="00000000">
      <w:pPr>
        <w:spacing w:after="140"/>
      </w:pPr>
      <w:r>
        <w:rPr>
          <w:rFonts w:ascii="Calibri" w:eastAsia="Calibri" w:hAnsi="Calibri" w:cs="Calibri"/>
          <w:color w:val="1A1A1A"/>
          <w:sz w:val="21"/>
          <w:szCs w:val="21"/>
        </w:rPr>
        <w:t>This is a face-to-face course — all six sessions are conducted in person, including the two Executive Dialogue sessions and the final CEO panel session.</w:t>
      </w:r>
    </w:p>
    <w:p w14:paraId="08E3FA04" w14:textId="77777777" w:rsidR="003D4C99" w:rsidRDefault="00000000">
      <w:pPr>
        <w:spacing w:after="140"/>
      </w:pPr>
      <w:r>
        <w:rPr>
          <w:rFonts w:ascii="Calibri" w:eastAsia="Calibri" w:hAnsi="Calibri" w:cs="Calibri"/>
          <w:b/>
          <w:bCs/>
          <w:color w:val="1A1A1A"/>
          <w:sz w:val="21"/>
          <w:szCs w:val="21"/>
        </w:rPr>
        <w:t>ADEX 547 is run as a crash course: six sessions, tightly packed, covering a large amount of ground. This format only works if the assigned pre-readings for each session are completed in advance. Class time is used for case discussion, simulation, and direct engagement with guest executives and the CEO panel — not for first exposure to the material. Arriving without having done the reading will noticeably limit what you can get out of that session.</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400"/>
        <w:gridCol w:w="2800"/>
        <w:gridCol w:w="2200"/>
      </w:tblGrid>
      <w:tr w:rsidR="003D4C99" w14:paraId="35F03496" w14:textId="77777777">
        <w:trPr>
          <w:tblHeader/>
        </w:trPr>
        <w:tc>
          <w:tcPr>
            <w:tcW w:w="900" w:type="dxa"/>
            <w:shd w:val="clear" w:color="auto" w:fill="0B1E39"/>
            <w:tcMar>
              <w:top w:w="100" w:type="dxa"/>
              <w:left w:w="120" w:type="dxa"/>
              <w:bottom w:w="100" w:type="dxa"/>
              <w:right w:w="120" w:type="dxa"/>
            </w:tcMar>
          </w:tcPr>
          <w:p w14:paraId="2CFB1F74" w14:textId="77777777" w:rsidR="003D4C99" w:rsidRDefault="00000000">
            <w:pPr>
              <w:jc w:val="center"/>
            </w:pPr>
            <w:r>
              <w:rPr>
                <w:rFonts w:ascii="Calibri" w:eastAsia="Calibri" w:hAnsi="Calibri" w:cs="Calibri"/>
                <w:b/>
                <w:bCs/>
                <w:color w:val="FFFFFF"/>
                <w:sz w:val="18"/>
                <w:szCs w:val="18"/>
              </w:rPr>
              <w:t>Session</w:t>
            </w:r>
          </w:p>
        </w:tc>
        <w:tc>
          <w:tcPr>
            <w:tcW w:w="3400" w:type="dxa"/>
            <w:shd w:val="clear" w:color="auto" w:fill="0B1E39"/>
            <w:tcMar>
              <w:top w:w="100" w:type="dxa"/>
              <w:left w:w="120" w:type="dxa"/>
              <w:bottom w:w="100" w:type="dxa"/>
              <w:right w:w="120" w:type="dxa"/>
            </w:tcMar>
          </w:tcPr>
          <w:p w14:paraId="38F2813A" w14:textId="77777777" w:rsidR="003D4C99" w:rsidRDefault="00000000">
            <w:r>
              <w:rPr>
                <w:rFonts w:ascii="Calibri" w:eastAsia="Calibri" w:hAnsi="Calibri" w:cs="Calibri"/>
                <w:b/>
                <w:bCs/>
                <w:color w:val="FFFFFF"/>
                <w:sz w:val="18"/>
                <w:szCs w:val="18"/>
              </w:rPr>
              <w:t>Topic</w:t>
            </w:r>
          </w:p>
        </w:tc>
        <w:tc>
          <w:tcPr>
            <w:tcW w:w="2800" w:type="dxa"/>
            <w:shd w:val="clear" w:color="auto" w:fill="0B1E39"/>
            <w:tcMar>
              <w:top w:w="100" w:type="dxa"/>
              <w:left w:w="120" w:type="dxa"/>
              <w:bottom w:w="100" w:type="dxa"/>
              <w:right w:w="120" w:type="dxa"/>
            </w:tcMar>
          </w:tcPr>
          <w:p w14:paraId="4A5470FA" w14:textId="77777777" w:rsidR="003D4C99" w:rsidRDefault="00000000">
            <w:r>
              <w:rPr>
                <w:rFonts w:ascii="Calibri" w:eastAsia="Calibri" w:hAnsi="Calibri" w:cs="Calibri"/>
                <w:b/>
                <w:bCs/>
                <w:color w:val="FFFFFF"/>
                <w:sz w:val="18"/>
                <w:szCs w:val="18"/>
              </w:rPr>
              <w:t>In-Class Activity</w:t>
            </w:r>
          </w:p>
        </w:tc>
        <w:tc>
          <w:tcPr>
            <w:tcW w:w="2200" w:type="dxa"/>
            <w:shd w:val="clear" w:color="auto" w:fill="0B1E39"/>
            <w:tcMar>
              <w:top w:w="100" w:type="dxa"/>
              <w:left w:w="120" w:type="dxa"/>
              <w:bottom w:w="100" w:type="dxa"/>
              <w:right w:w="120" w:type="dxa"/>
            </w:tcMar>
          </w:tcPr>
          <w:p w14:paraId="247EF7AC" w14:textId="77777777" w:rsidR="003D4C99" w:rsidRDefault="00000000">
            <w:r>
              <w:rPr>
                <w:rFonts w:ascii="Calibri" w:eastAsia="Calibri" w:hAnsi="Calibri" w:cs="Calibri"/>
                <w:b/>
                <w:bCs/>
                <w:color w:val="FFFFFF"/>
                <w:sz w:val="18"/>
                <w:szCs w:val="18"/>
              </w:rPr>
              <w:t>Format</w:t>
            </w:r>
          </w:p>
        </w:tc>
      </w:tr>
      <w:tr w:rsidR="003D4C99" w14:paraId="3ED65637" w14:textId="77777777">
        <w:tc>
          <w:tcPr>
            <w:tcW w:w="900" w:type="dxa"/>
            <w:shd w:val="clear" w:color="auto" w:fill="FFFFFF"/>
            <w:tcMar>
              <w:top w:w="100" w:type="dxa"/>
              <w:left w:w="120" w:type="dxa"/>
              <w:bottom w:w="100" w:type="dxa"/>
              <w:right w:w="120" w:type="dxa"/>
            </w:tcMar>
          </w:tcPr>
          <w:p w14:paraId="5B1E33AF" w14:textId="77777777" w:rsidR="003D4C99" w:rsidRDefault="00000000">
            <w:pPr>
              <w:jc w:val="center"/>
            </w:pPr>
            <w:r>
              <w:rPr>
                <w:rFonts w:ascii="Calibri" w:eastAsia="Calibri" w:hAnsi="Calibri" w:cs="Calibri"/>
                <w:b/>
                <w:bCs/>
                <w:color w:val="13294B"/>
                <w:sz w:val="18"/>
                <w:szCs w:val="18"/>
              </w:rPr>
              <w:t>1</w:t>
            </w:r>
          </w:p>
        </w:tc>
        <w:tc>
          <w:tcPr>
            <w:tcW w:w="3400" w:type="dxa"/>
            <w:shd w:val="clear" w:color="auto" w:fill="FFFFFF"/>
            <w:tcMar>
              <w:top w:w="100" w:type="dxa"/>
              <w:left w:w="120" w:type="dxa"/>
              <w:bottom w:w="100" w:type="dxa"/>
              <w:right w:w="120" w:type="dxa"/>
            </w:tcMar>
          </w:tcPr>
          <w:p w14:paraId="30B1AE92" w14:textId="77777777" w:rsidR="003D4C99" w:rsidRDefault="00000000">
            <w:r>
              <w:rPr>
                <w:rFonts w:ascii="Calibri" w:eastAsia="Calibri" w:hAnsi="Calibri" w:cs="Calibri"/>
                <w:color w:val="1A1A1A"/>
                <w:sz w:val="18"/>
                <w:szCs w:val="18"/>
              </w:rPr>
              <w:t>Corporate Strategy and Investment Foundations</w:t>
            </w:r>
          </w:p>
        </w:tc>
        <w:tc>
          <w:tcPr>
            <w:tcW w:w="2800" w:type="dxa"/>
            <w:shd w:val="clear" w:color="auto" w:fill="FFFFFF"/>
            <w:tcMar>
              <w:top w:w="100" w:type="dxa"/>
              <w:left w:w="120" w:type="dxa"/>
              <w:bottom w:w="100" w:type="dxa"/>
              <w:right w:w="120" w:type="dxa"/>
            </w:tcMar>
          </w:tcPr>
          <w:p w14:paraId="2B82E364" w14:textId="77777777" w:rsidR="003D4C99" w:rsidRDefault="00000000">
            <w:r>
              <w:rPr>
                <w:rFonts w:ascii="Calibri" w:eastAsia="Calibri" w:hAnsi="Calibri" w:cs="Calibri"/>
                <w:color w:val="1A1A1A"/>
                <w:sz w:val="18"/>
                <w:szCs w:val="18"/>
              </w:rPr>
              <w:t>Portfolio mapping and capital allocation exercise</w:t>
            </w:r>
          </w:p>
        </w:tc>
        <w:tc>
          <w:tcPr>
            <w:tcW w:w="2200" w:type="dxa"/>
            <w:shd w:val="clear" w:color="auto" w:fill="FFFFFF"/>
            <w:tcMar>
              <w:top w:w="100" w:type="dxa"/>
              <w:left w:w="120" w:type="dxa"/>
              <w:bottom w:w="100" w:type="dxa"/>
              <w:right w:w="120" w:type="dxa"/>
            </w:tcMar>
          </w:tcPr>
          <w:p w14:paraId="575A50B0" w14:textId="77777777" w:rsidR="003D4C99" w:rsidRDefault="00000000">
            <w:r>
              <w:rPr>
                <w:rFonts w:ascii="Calibri" w:eastAsia="Calibri" w:hAnsi="Calibri" w:cs="Calibri"/>
                <w:color w:val="1A1A1A"/>
                <w:sz w:val="18"/>
                <w:szCs w:val="18"/>
              </w:rPr>
              <w:t>Face-to-face</w:t>
            </w:r>
          </w:p>
        </w:tc>
      </w:tr>
      <w:tr w:rsidR="003D4C99" w14:paraId="067DC8B5" w14:textId="77777777">
        <w:tc>
          <w:tcPr>
            <w:tcW w:w="900" w:type="dxa"/>
            <w:shd w:val="clear" w:color="auto" w:fill="F5F1E8"/>
            <w:tcMar>
              <w:top w:w="100" w:type="dxa"/>
              <w:left w:w="120" w:type="dxa"/>
              <w:bottom w:w="100" w:type="dxa"/>
              <w:right w:w="120" w:type="dxa"/>
            </w:tcMar>
          </w:tcPr>
          <w:p w14:paraId="3FB6537F" w14:textId="77777777" w:rsidR="003D4C99" w:rsidRDefault="00000000">
            <w:pPr>
              <w:jc w:val="center"/>
            </w:pPr>
            <w:r>
              <w:rPr>
                <w:rFonts w:ascii="Calibri" w:eastAsia="Calibri" w:hAnsi="Calibri" w:cs="Calibri"/>
                <w:b/>
                <w:bCs/>
                <w:color w:val="13294B"/>
                <w:sz w:val="18"/>
                <w:szCs w:val="18"/>
              </w:rPr>
              <w:t>2</w:t>
            </w:r>
          </w:p>
        </w:tc>
        <w:tc>
          <w:tcPr>
            <w:tcW w:w="3400" w:type="dxa"/>
            <w:shd w:val="clear" w:color="auto" w:fill="F5F1E8"/>
            <w:tcMar>
              <w:top w:w="100" w:type="dxa"/>
              <w:left w:w="120" w:type="dxa"/>
              <w:bottom w:w="100" w:type="dxa"/>
              <w:right w:w="120" w:type="dxa"/>
            </w:tcMar>
          </w:tcPr>
          <w:p w14:paraId="50AE0EF8" w14:textId="77777777" w:rsidR="003D4C99" w:rsidRDefault="00000000">
            <w:r>
              <w:rPr>
                <w:rFonts w:ascii="Calibri" w:eastAsia="Calibri" w:hAnsi="Calibri" w:cs="Calibri"/>
                <w:color w:val="1A1A1A"/>
                <w:sz w:val="18"/>
                <w:szCs w:val="18"/>
              </w:rPr>
              <w:t>Executive Dialogue I: Capital Allocation, M&amp;A Governance and Board Accountability</w:t>
            </w:r>
          </w:p>
        </w:tc>
        <w:tc>
          <w:tcPr>
            <w:tcW w:w="2800" w:type="dxa"/>
            <w:shd w:val="clear" w:color="auto" w:fill="F5F1E8"/>
            <w:tcMar>
              <w:top w:w="100" w:type="dxa"/>
              <w:left w:w="120" w:type="dxa"/>
              <w:bottom w:w="100" w:type="dxa"/>
              <w:right w:w="120" w:type="dxa"/>
            </w:tcMar>
          </w:tcPr>
          <w:p w14:paraId="40812625" w14:textId="77777777" w:rsidR="003D4C99" w:rsidRDefault="00000000">
            <w:r>
              <w:rPr>
                <w:rFonts w:ascii="Calibri" w:eastAsia="Calibri" w:hAnsi="Calibri" w:cs="Calibri"/>
                <w:color w:val="1A1A1A"/>
                <w:sz w:val="18"/>
                <w:szCs w:val="18"/>
              </w:rPr>
              <w:t>Guest executive session and moderated board discussion</w:t>
            </w:r>
          </w:p>
        </w:tc>
        <w:tc>
          <w:tcPr>
            <w:tcW w:w="2200" w:type="dxa"/>
            <w:shd w:val="clear" w:color="auto" w:fill="F5F1E8"/>
            <w:tcMar>
              <w:top w:w="100" w:type="dxa"/>
              <w:left w:w="120" w:type="dxa"/>
              <w:bottom w:w="100" w:type="dxa"/>
              <w:right w:w="120" w:type="dxa"/>
            </w:tcMar>
          </w:tcPr>
          <w:p w14:paraId="35A1426B" w14:textId="77777777" w:rsidR="003D4C99" w:rsidRDefault="00000000">
            <w:r>
              <w:rPr>
                <w:rFonts w:ascii="Calibri" w:eastAsia="Calibri" w:hAnsi="Calibri" w:cs="Calibri"/>
                <w:color w:val="1A1A1A"/>
                <w:sz w:val="18"/>
                <w:szCs w:val="18"/>
              </w:rPr>
              <w:t>Face-to-face (mandatory)</w:t>
            </w:r>
          </w:p>
        </w:tc>
      </w:tr>
      <w:tr w:rsidR="003D4C99" w14:paraId="0503297B" w14:textId="77777777">
        <w:tc>
          <w:tcPr>
            <w:tcW w:w="900" w:type="dxa"/>
            <w:shd w:val="clear" w:color="auto" w:fill="FFFFFF"/>
            <w:tcMar>
              <w:top w:w="100" w:type="dxa"/>
              <w:left w:w="120" w:type="dxa"/>
              <w:bottom w:w="100" w:type="dxa"/>
              <w:right w:w="120" w:type="dxa"/>
            </w:tcMar>
          </w:tcPr>
          <w:p w14:paraId="22898652" w14:textId="77777777" w:rsidR="003D4C99" w:rsidRDefault="00000000">
            <w:pPr>
              <w:jc w:val="center"/>
            </w:pPr>
            <w:r>
              <w:rPr>
                <w:rFonts w:ascii="Calibri" w:eastAsia="Calibri" w:hAnsi="Calibri" w:cs="Calibri"/>
                <w:b/>
                <w:bCs/>
                <w:color w:val="13294B"/>
                <w:sz w:val="18"/>
                <w:szCs w:val="18"/>
              </w:rPr>
              <w:t>3</w:t>
            </w:r>
          </w:p>
        </w:tc>
        <w:tc>
          <w:tcPr>
            <w:tcW w:w="3400" w:type="dxa"/>
            <w:shd w:val="clear" w:color="auto" w:fill="FFFFFF"/>
            <w:tcMar>
              <w:top w:w="100" w:type="dxa"/>
              <w:left w:w="120" w:type="dxa"/>
              <w:bottom w:w="100" w:type="dxa"/>
              <w:right w:w="120" w:type="dxa"/>
            </w:tcMar>
          </w:tcPr>
          <w:p w14:paraId="10F2C4F8" w14:textId="77777777" w:rsidR="003D4C99" w:rsidRDefault="00000000">
            <w:r>
              <w:rPr>
                <w:rFonts w:ascii="Calibri" w:eastAsia="Calibri" w:hAnsi="Calibri" w:cs="Calibri"/>
                <w:color w:val="1A1A1A"/>
                <w:sz w:val="18"/>
                <w:szCs w:val="18"/>
              </w:rPr>
              <w:t>Capital Markets Law, SPK Oversight and Disclosure in Material Corporate Actions</w:t>
            </w:r>
          </w:p>
        </w:tc>
        <w:tc>
          <w:tcPr>
            <w:tcW w:w="2800" w:type="dxa"/>
            <w:shd w:val="clear" w:color="auto" w:fill="FFFFFF"/>
            <w:tcMar>
              <w:top w:w="100" w:type="dxa"/>
              <w:left w:w="120" w:type="dxa"/>
              <w:bottom w:w="100" w:type="dxa"/>
              <w:right w:w="120" w:type="dxa"/>
            </w:tcMar>
          </w:tcPr>
          <w:p w14:paraId="4C7B1504" w14:textId="77777777" w:rsidR="003D4C99" w:rsidRDefault="00000000">
            <w:r>
              <w:rPr>
                <w:rFonts w:ascii="Calibri" w:eastAsia="Calibri" w:hAnsi="Calibri" w:cs="Calibri"/>
                <w:color w:val="1A1A1A"/>
                <w:sz w:val="18"/>
                <w:szCs w:val="18"/>
              </w:rPr>
              <w:t>Regulatory scenario analysis</w:t>
            </w:r>
          </w:p>
        </w:tc>
        <w:tc>
          <w:tcPr>
            <w:tcW w:w="2200" w:type="dxa"/>
            <w:shd w:val="clear" w:color="auto" w:fill="FFFFFF"/>
            <w:tcMar>
              <w:top w:w="100" w:type="dxa"/>
              <w:left w:w="120" w:type="dxa"/>
              <w:bottom w:w="100" w:type="dxa"/>
              <w:right w:w="120" w:type="dxa"/>
            </w:tcMar>
          </w:tcPr>
          <w:p w14:paraId="28E219C3" w14:textId="77777777" w:rsidR="003D4C99" w:rsidRDefault="00000000">
            <w:r>
              <w:rPr>
                <w:rFonts w:ascii="Calibri" w:eastAsia="Calibri" w:hAnsi="Calibri" w:cs="Calibri"/>
                <w:color w:val="1A1A1A"/>
                <w:sz w:val="18"/>
                <w:szCs w:val="18"/>
              </w:rPr>
              <w:t>Face-to-face</w:t>
            </w:r>
          </w:p>
        </w:tc>
      </w:tr>
      <w:tr w:rsidR="003D4C99" w14:paraId="4245BED8" w14:textId="77777777">
        <w:tc>
          <w:tcPr>
            <w:tcW w:w="900" w:type="dxa"/>
            <w:shd w:val="clear" w:color="auto" w:fill="F5F1E8"/>
            <w:tcMar>
              <w:top w:w="100" w:type="dxa"/>
              <w:left w:w="120" w:type="dxa"/>
              <w:bottom w:w="100" w:type="dxa"/>
              <w:right w:w="120" w:type="dxa"/>
            </w:tcMar>
          </w:tcPr>
          <w:p w14:paraId="655B0CC7" w14:textId="77777777" w:rsidR="003D4C99" w:rsidRDefault="00000000">
            <w:pPr>
              <w:jc w:val="center"/>
            </w:pPr>
            <w:r>
              <w:rPr>
                <w:rFonts w:ascii="Calibri" w:eastAsia="Calibri" w:hAnsi="Calibri" w:cs="Calibri"/>
                <w:b/>
                <w:bCs/>
                <w:color w:val="13294B"/>
                <w:sz w:val="18"/>
                <w:szCs w:val="18"/>
              </w:rPr>
              <w:t>4</w:t>
            </w:r>
          </w:p>
        </w:tc>
        <w:tc>
          <w:tcPr>
            <w:tcW w:w="3400" w:type="dxa"/>
            <w:shd w:val="clear" w:color="auto" w:fill="F5F1E8"/>
            <w:tcMar>
              <w:top w:w="100" w:type="dxa"/>
              <w:left w:w="120" w:type="dxa"/>
              <w:bottom w:w="100" w:type="dxa"/>
              <w:right w:w="120" w:type="dxa"/>
            </w:tcMar>
          </w:tcPr>
          <w:p w14:paraId="710617DD" w14:textId="77777777" w:rsidR="003D4C99" w:rsidRDefault="00000000">
            <w:r>
              <w:rPr>
                <w:rFonts w:ascii="Calibri" w:eastAsia="Calibri" w:hAnsi="Calibri" w:cs="Calibri"/>
                <w:color w:val="1A1A1A"/>
                <w:sz w:val="18"/>
                <w:szCs w:val="18"/>
              </w:rPr>
              <w:t>Executive Dialogue II: Activist Investors, Portfolio Restructuring and Governance Tensions</w:t>
            </w:r>
          </w:p>
        </w:tc>
        <w:tc>
          <w:tcPr>
            <w:tcW w:w="2800" w:type="dxa"/>
            <w:shd w:val="clear" w:color="auto" w:fill="F5F1E8"/>
            <w:tcMar>
              <w:top w:w="100" w:type="dxa"/>
              <w:left w:w="120" w:type="dxa"/>
              <w:bottom w:w="100" w:type="dxa"/>
              <w:right w:w="120" w:type="dxa"/>
            </w:tcMar>
          </w:tcPr>
          <w:p w14:paraId="11CE76DE" w14:textId="77777777" w:rsidR="003D4C99" w:rsidRDefault="00000000">
            <w:r>
              <w:rPr>
                <w:rFonts w:ascii="Calibri" w:eastAsia="Calibri" w:hAnsi="Calibri" w:cs="Calibri"/>
                <w:color w:val="1A1A1A"/>
                <w:sz w:val="18"/>
                <w:szCs w:val="18"/>
              </w:rPr>
              <w:t>Guest executive session and governance negotiation exercise</w:t>
            </w:r>
          </w:p>
        </w:tc>
        <w:tc>
          <w:tcPr>
            <w:tcW w:w="2200" w:type="dxa"/>
            <w:shd w:val="clear" w:color="auto" w:fill="F5F1E8"/>
            <w:tcMar>
              <w:top w:w="100" w:type="dxa"/>
              <w:left w:w="120" w:type="dxa"/>
              <w:bottom w:w="100" w:type="dxa"/>
              <w:right w:w="120" w:type="dxa"/>
            </w:tcMar>
          </w:tcPr>
          <w:p w14:paraId="38B2E69C" w14:textId="77777777" w:rsidR="003D4C99" w:rsidRDefault="00000000">
            <w:r>
              <w:rPr>
                <w:rFonts w:ascii="Calibri" w:eastAsia="Calibri" w:hAnsi="Calibri" w:cs="Calibri"/>
                <w:color w:val="1A1A1A"/>
                <w:sz w:val="18"/>
                <w:szCs w:val="18"/>
              </w:rPr>
              <w:t>Face-to-face (mandatory)</w:t>
            </w:r>
          </w:p>
        </w:tc>
      </w:tr>
      <w:tr w:rsidR="003D4C99" w14:paraId="07BBF33A" w14:textId="77777777">
        <w:tc>
          <w:tcPr>
            <w:tcW w:w="900" w:type="dxa"/>
            <w:shd w:val="clear" w:color="auto" w:fill="FFFFFF"/>
            <w:tcMar>
              <w:top w:w="100" w:type="dxa"/>
              <w:left w:w="120" w:type="dxa"/>
              <w:bottom w:w="100" w:type="dxa"/>
              <w:right w:w="120" w:type="dxa"/>
            </w:tcMar>
          </w:tcPr>
          <w:p w14:paraId="08B74BF3" w14:textId="77777777" w:rsidR="003D4C99" w:rsidRDefault="00000000">
            <w:pPr>
              <w:jc w:val="center"/>
            </w:pPr>
            <w:r>
              <w:rPr>
                <w:rFonts w:ascii="Calibri" w:eastAsia="Calibri" w:hAnsi="Calibri" w:cs="Calibri"/>
                <w:b/>
                <w:bCs/>
                <w:color w:val="13294B"/>
                <w:sz w:val="18"/>
                <w:szCs w:val="18"/>
              </w:rPr>
              <w:t>5</w:t>
            </w:r>
          </w:p>
        </w:tc>
        <w:tc>
          <w:tcPr>
            <w:tcW w:w="3400" w:type="dxa"/>
            <w:shd w:val="clear" w:color="auto" w:fill="FFFFFF"/>
            <w:tcMar>
              <w:top w:w="100" w:type="dxa"/>
              <w:left w:w="120" w:type="dxa"/>
              <w:bottom w:w="100" w:type="dxa"/>
              <w:right w:w="120" w:type="dxa"/>
            </w:tcMar>
          </w:tcPr>
          <w:p w14:paraId="7AE956D5" w14:textId="77777777" w:rsidR="003D4C99" w:rsidRDefault="00000000">
            <w:r>
              <w:rPr>
                <w:rFonts w:ascii="Calibri" w:eastAsia="Calibri" w:hAnsi="Calibri" w:cs="Calibri"/>
                <w:color w:val="1A1A1A"/>
                <w:sz w:val="18"/>
                <w:szCs w:val="18"/>
              </w:rPr>
              <w:t>ESG Integration, AI Governance and Investment Monitoring</w:t>
            </w:r>
          </w:p>
        </w:tc>
        <w:tc>
          <w:tcPr>
            <w:tcW w:w="2800" w:type="dxa"/>
            <w:shd w:val="clear" w:color="auto" w:fill="FFFFFF"/>
            <w:tcMar>
              <w:top w:w="100" w:type="dxa"/>
              <w:left w:w="120" w:type="dxa"/>
              <w:bottom w:w="100" w:type="dxa"/>
              <w:right w:w="120" w:type="dxa"/>
            </w:tcMar>
          </w:tcPr>
          <w:p w14:paraId="64B51400" w14:textId="77777777" w:rsidR="003D4C99" w:rsidRDefault="00000000">
            <w:r>
              <w:rPr>
                <w:rFonts w:ascii="Calibri" w:eastAsia="Calibri" w:hAnsi="Calibri" w:cs="Calibri"/>
                <w:color w:val="1A1A1A"/>
                <w:sz w:val="18"/>
                <w:szCs w:val="18"/>
              </w:rPr>
              <w:t>ESG and AI-based investment risk evaluation workshop</w:t>
            </w:r>
          </w:p>
        </w:tc>
        <w:tc>
          <w:tcPr>
            <w:tcW w:w="2200" w:type="dxa"/>
            <w:shd w:val="clear" w:color="auto" w:fill="FFFFFF"/>
            <w:tcMar>
              <w:top w:w="100" w:type="dxa"/>
              <w:left w:w="120" w:type="dxa"/>
              <w:bottom w:w="100" w:type="dxa"/>
              <w:right w:w="120" w:type="dxa"/>
            </w:tcMar>
          </w:tcPr>
          <w:p w14:paraId="11CD3020" w14:textId="77777777" w:rsidR="003D4C99" w:rsidRDefault="00000000">
            <w:r>
              <w:rPr>
                <w:rFonts w:ascii="Calibri" w:eastAsia="Calibri" w:hAnsi="Calibri" w:cs="Calibri"/>
                <w:color w:val="1A1A1A"/>
                <w:sz w:val="18"/>
                <w:szCs w:val="18"/>
              </w:rPr>
              <w:t>Face-to-face</w:t>
            </w:r>
          </w:p>
        </w:tc>
      </w:tr>
      <w:tr w:rsidR="003D4C99" w14:paraId="3593C7EE" w14:textId="77777777">
        <w:tc>
          <w:tcPr>
            <w:tcW w:w="900" w:type="dxa"/>
            <w:shd w:val="clear" w:color="auto" w:fill="F5F1E8"/>
            <w:tcMar>
              <w:top w:w="100" w:type="dxa"/>
              <w:left w:w="120" w:type="dxa"/>
              <w:bottom w:w="100" w:type="dxa"/>
              <w:right w:w="120" w:type="dxa"/>
            </w:tcMar>
          </w:tcPr>
          <w:p w14:paraId="506EA301" w14:textId="77777777" w:rsidR="003D4C99" w:rsidRDefault="00000000">
            <w:pPr>
              <w:jc w:val="center"/>
            </w:pPr>
            <w:r>
              <w:rPr>
                <w:rFonts w:ascii="Calibri" w:eastAsia="Calibri" w:hAnsi="Calibri" w:cs="Calibri"/>
                <w:b/>
                <w:bCs/>
                <w:color w:val="13294B"/>
                <w:sz w:val="18"/>
                <w:szCs w:val="18"/>
              </w:rPr>
              <w:t>6</w:t>
            </w:r>
          </w:p>
        </w:tc>
        <w:tc>
          <w:tcPr>
            <w:tcW w:w="3400" w:type="dxa"/>
            <w:shd w:val="clear" w:color="auto" w:fill="F5F1E8"/>
            <w:tcMar>
              <w:top w:w="100" w:type="dxa"/>
              <w:left w:w="120" w:type="dxa"/>
              <w:bottom w:w="100" w:type="dxa"/>
              <w:right w:w="120" w:type="dxa"/>
            </w:tcMar>
          </w:tcPr>
          <w:p w14:paraId="3F703A46" w14:textId="77777777" w:rsidR="003D4C99" w:rsidRDefault="00000000">
            <w:r>
              <w:rPr>
                <w:rFonts w:ascii="Calibri" w:eastAsia="Calibri" w:hAnsi="Calibri" w:cs="Calibri"/>
                <w:color w:val="1A1A1A"/>
                <w:sz w:val="18"/>
                <w:szCs w:val="18"/>
              </w:rPr>
              <w:t>Final Board-Level Portfolio and Investment Strategy Presentations</w:t>
            </w:r>
          </w:p>
        </w:tc>
        <w:tc>
          <w:tcPr>
            <w:tcW w:w="2800" w:type="dxa"/>
            <w:shd w:val="clear" w:color="auto" w:fill="F5F1E8"/>
            <w:tcMar>
              <w:top w:w="100" w:type="dxa"/>
              <w:left w:w="120" w:type="dxa"/>
              <w:bottom w:w="100" w:type="dxa"/>
              <w:right w:w="120" w:type="dxa"/>
            </w:tcMar>
          </w:tcPr>
          <w:p w14:paraId="4F787242" w14:textId="77777777" w:rsidR="003D4C99" w:rsidRDefault="00000000">
            <w:r>
              <w:rPr>
                <w:rFonts w:ascii="Calibri" w:eastAsia="Calibri" w:hAnsi="Calibri" w:cs="Calibri"/>
                <w:color w:val="1A1A1A"/>
                <w:sz w:val="18"/>
                <w:szCs w:val="18"/>
              </w:rPr>
              <w:t>Board simulation and CEO evaluation panel</w:t>
            </w:r>
          </w:p>
        </w:tc>
        <w:tc>
          <w:tcPr>
            <w:tcW w:w="2200" w:type="dxa"/>
            <w:shd w:val="clear" w:color="auto" w:fill="F5F1E8"/>
            <w:tcMar>
              <w:top w:w="100" w:type="dxa"/>
              <w:left w:w="120" w:type="dxa"/>
              <w:bottom w:w="100" w:type="dxa"/>
              <w:right w:w="120" w:type="dxa"/>
            </w:tcMar>
          </w:tcPr>
          <w:p w14:paraId="5AC43E38" w14:textId="77777777" w:rsidR="003D4C99" w:rsidRDefault="00000000">
            <w:r>
              <w:rPr>
                <w:rFonts w:ascii="Calibri" w:eastAsia="Calibri" w:hAnsi="Calibri" w:cs="Calibri"/>
                <w:color w:val="1A1A1A"/>
                <w:sz w:val="18"/>
                <w:szCs w:val="18"/>
              </w:rPr>
              <w:t>Face-to-face (mandatory)</w:t>
            </w:r>
          </w:p>
        </w:tc>
      </w:tr>
    </w:tbl>
    <w:p w14:paraId="0169CA49" w14:textId="77777777" w:rsidR="003D4C99" w:rsidRDefault="00000000">
      <w:pPr>
        <w:pStyle w:val="Heading2"/>
        <w:spacing w:before="320" w:after="160"/>
      </w:pPr>
      <w:r>
        <w:rPr>
          <w:rFonts w:ascii="Georgia" w:eastAsia="Georgia" w:hAnsi="Georgia" w:cs="Georgia"/>
          <w:b/>
          <w:bCs/>
          <w:color w:val="13294B"/>
          <w:sz w:val="24"/>
          <w:szCs w:val="24"/>
        </w:rPr>
        <w:t>Sessions 2 and 4 — Executive Dialogues</w:t>
      </w:r>
    </w:p>
    <w:p w14:paraId="5281F74F" w14:textId="77777777" w:rsidR="003D4C99" w:rsidRDefault="00000000">
      <w:pPr>
        <w:spacing w:after="140"/>
      </w:pPr>
      <w:r>
        <w:rPr>
          <w:rFonts w:ascii="Calibri" w:eastAsia="Calibri" w:hAnsi="Calibri" w:cs="Calibri"/>
          <w:color w:val="1A1A1A"/>
          <w:sz w:val="21"/>
          <w:szCs w:val="21"/>
        </w:rPr>
        <w:t xml:space="preserve">Both mandatory sessions bring in a senior executive who will present a real capital allocation, M&amp;A, or activist-investor case from their own experience, walk through board approval dynamics and governance constraints, and then engage directly with your analysis — in Session 2 through a moderated board discussion following your investment committee simulation, and in Session 4 through a live governance negotiation exercise. Come prepared to be questioned as a board would </w:t>
      </w:r>
      <w:proofErr w:type="gramStart"/>
      <w:r>
        <w:rPr>
          <w:rFonts w:ascii="Calibri" w:eastAsia="Calibri" w:hAnsi="Calibri" w:cs="Calibri"/>
          <w:color w:val="1A1A1A"/>
          <w:sz w:val="21"/>
          <w:szCs w:val="21"/>
        </w:rPr>
        <w:t>question</w:t>
      </w:r>
      <w:proofErr w:type="gramEnd"/>
      <w:r>
        <w:rPr>
          <w:rFonts w:ascii="Calibri" w:eastAsia="Calibri" w:hAnsi="Calibri" w:cs="Calibri"/>
          <w:color w:val="1A1A1A"/>
          <w:sz w:val="21"/>
          <w:szCs w:val="21"/>
        </w:rPr>
        <w:t xml:space="preserve"> you.</w:t>
      </w:r>
    </w:p>
    <w:p w14:paraId="5EF972A8" w14:textId="77777777" w:rsidR="003D4C99" w:rsidRDefault="00000000">
      <w:pPr>
        <w:pStyle w:val="Heading2"/>
        <w:spacing w:before="320" w:after="160"/>
      </w:pPr>
      <w:r>
        <w:rPr>
          <w:rFonts w:ascii="Georgia" w:eastAsia="Georgia" w:hAnsi="Georgia" w:cs="Georgia"/>
          <w:b/>
          <w:bCs/>
          <w:color w:val="13294B"/>
          <w:sz w:val="24"/>
          <w:szCs w:val="24"/>
        </w:rPr>
        <w:t>Session 6 — The CEO Evaluation Panel</w:t>
      </w:r>
    </w:p>
    <w:p w14:paraId="22B07DFC" w14:textId="77777777" w:rsidR="003D4C99" w:rsidRDefault="00000000">
      <w:pPr>
        <w:spacing w:after="140"/>
      </w:pPr>
      <w:r>
        <w:rPr>
          <w:rFonts w:ascii="Calibri" w:eastAsia="Calibri" w:hAnsi="Calibri" w:cs="Calibri"/>
          <w:color w:val="1A1A1A"/>
          <w:sz w:val="21"/>
          <w:szCs w:val="21"/>
        </w:rPr>
        <w:t>Your final group work is a board-level portfolio and investment strategy presentation, evaluated by a panel of invited CEOs acting as an external board. They will question your capital allocation logic, governance assumptions, and ESG/AI integration exactly as a real board would — though final grading remains the instructor's responsibility.</w:t>
      </w:r>
    </w:p>
    <w:p w14:paraId="67DDF60D" w14:textId="77777777" w:rsidR="003D4C99" w:rsidRDefault="00000000">
      <w:pPr>
        <w:pStyle w:val="Heading1"/>
        <w:pBdr>
          <w:bottom w:val="single" w:sz="6" w:space="4" w:color="B08D3D"/>
        </w:pBdr>
        <w:spacing w:before="320" w:after="160"/>
      </w:pPr>
      <w:r>
        <w:rPr>
          <w:rFonts w:ascii="Georgia" w:eastAsia="Georgia" w:hAnsi="Georgia" w:cs="Georgia"/>
          <w:b/>
          <w:bCs/>
          <w:color w:val="0B1E39"/>
          <w:sz w:val="30"/>
          <w:szCs w:val="30"/>
        </w:rPr>
        <w:t>Assessment</w:t>
      </w:r>
    </w:p>
    <w:p w14:paraId="493531D4" w14:textId="77777777" w:rsidR="003D4C99" w:rsidRDefault="00000000">
      <w:pPr>
        <w:spacing w:after="140"/>
      </w:pPr>
      <w:r>
        <w:rPr>
          <w:rFonts w:ascii="Calibri" w:eastAsia="Calibri" w:hAnsi="Calibri" w:cs="Calibri"/>
          <w:color w:val="1A1A1A"/>
          <w:sz w:val="21"/>
          <w:szCs w:val="21"/>
        </w:rPr>
        <w:t>Your grade is built from three components: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400"/>
        <w:gridCol w:w="2700"/>
      </w:tblGrid>
      <w:tr w:rsidR="003D4C99" w14:paraId="65CD9920" w14:textId="77777777">
        <w:trPr>
          <w:tblHeader/>
        </w:trPr>
        <w:tc>
          <w:tcPr>
            <w:tcW w:w="4200" w:type="dxa"/>
            <w:shd w:val="clear" w:color="auto" w:fill="0B1E39"/>
            <w:tcMar>
              <w:top w:w="100" w:type="dxa"/>
              <w:left w:w="120" w:type="dxa"/>
              <w:bottom w:w="100" w:type="dxa"/>
              <w:right w:w="120" w:type="dxa"/>
            </w:tcMar>
          </w:tcPr>
          <w:p w14:paraId="18C57B71" w14:textId="77777777" w:rsidR="003D4C99" w:rsidRDefault="00000000">
            <w:r>
              <w:rPr>
                <w:rFonts w:ascii="Calibri" w:eastAsia="Calibri" w:hAnsi="Calibri" w:cs="Calibri"/>
                <w:b/>
                <w:bCs/>
                <w:color w:val="FFFFFF"/>
                <w:sz w:val="18"/>
                <w:szCs w:val="18"/>
              </w:rPr>
              <w:t>Component</w:t>
            </w:r>
          </w:p>
        </w:tc>
        <w:tc>
          <w:tcPr>
            <w:tcW w:w="2400" w:type="dxa"/>
            <w:shd w:val="clear" w:color="auto" w:fill="0B1E39"/>
            <w:tcMar>
              <w:top w:w="100" w:type="dxa"/>
              <w:left w:w="120" w:type="dxa"/>
              <w:bottom w:w="100" w:type="dxa"/>
              <w:right w:w="120" w:type="dxa"/>
            </w:tcMar>
          </w:tcPr>
          <w:p w14:paraId="6B1D6754" w14:textId="77777777" w:rsidR="003D4C99" w:rsidRDefault="00000000">
            <w:pPr>
              <w:jc w:val="center"/>
            </w:pPr>
            <w:r>
              <w:rPr>
                <w:rFonts w:ascii="Calibri" w:eastAsia="Calibri" w:hAnsi="Calibri" w:cs="Calibri"/>
                <w:b/>
                <w:bCs/>
                <w:color w:val="FFFFFF"/>
                <w:sz w:val="18"/>
                <w:szCs w:val="18"/>
              </w:rPr>
              <w:t>Accountability</w:t>
            </w:r>
          </w:p>
        </w:tc>
        <w:tc>
          <w:tcPr>
            <w:tcW w:w="2700" w:type="dxa"/>
            <w:shd w:val="clear" w:color="auto" w:fill="0B1E39"/>
            <w:tcMar>
              <w:top w:w="100" w:type="dxa"/>
              <w:left w:w="120" w:type="dxa"/>
              <w:bottom w:w="100" w:type="dxa"/>
              <w:right w:w="120" w:type="dxa"/>
            </w:tcMar>
          </w:tcPr>
          <w:p w14:paraId="6211F414" w14:textId="77777777" w:rsidR="003D4C99" w:rsidRDefault="00000000">
            <w:pPr>
              <w:jc w:val="center"/>
            </w:pPr>
            <w:r>
              <w:rPr>
                <w:rFonts w:ascii="Calibri" w:eastAsia="Calibri" w:hAnsi="Calibri" w:cs="Calibri"/>
                <w:b/>
                <w:bCs/>
                <w:color w:val="FFFFFF"/>
                <w:sz w:val="18"/>
                <w:szCs w:val="18"/>
              </w:rPr>
              <w:t>Weight</w:t>
            </w:r>
          </w:p>
        </w:tc>
      </w:tr>
      <w:tr w:rsidR="003D4C99" w14:paraId="5247F2E5" w14:textId="77777777">
        <w:tc>
          <w:tcPr>
            <w:tcW w:w="4200" w:type="dxa"/>
            <w:shd w:val="clear" w:color="auto" w:fill="FFFFFF"/>
            <w:tcMar>
              <w:top w:w="100" w:type="dxa"/>
              <w:left w:w="120" w:type="dxa"/>
              <w:bottom w:w="100" w:type="dxa"/>
              <w:right w:w="120" w:type="dxa"/>
            </w:tcMar>
          </w:tcPr>
          <w:p w14:paraId="1B78561D" w14:textId="77777777" w:rsidR="003D4C99" w:rsidRDefault="00000000">
            <w:r>
              <w:rPr>
                <w:rFonts w:ascii="Calibri" w:eastAsia="Calibri" w:hAnsi="Calibri" w:cs="Calibri"/>
                <w:color w:val="1A1A1A"/>
                <w:sz w:val="18"/>
                <w:szCs w:val="18"/>
              </w:rPr>
              <w:t>Group Works (Portfolio Diagnostic; Activist Simulation)</w:t>
            </w:r>
          </w:p>
        </w:tc>
        <w:tc>
          <w:tcPr>
            <w:tcW w:w="2400" w:type="dxa"/>
            <w:shd w:val="clear" w:color="auto" w:fill="FFFFFF"/>
            <w:tcMar>
              <w:top w:w="100" w:type="dxa"/>
              <w:left w:w="120" w:type="dxa"/>
              <w:bottom w:w="100" w:type="dxa"/>
              <w:right w:w="120" w:type="dxa"/>
            </w:tcMar>
          </w:tcPr>
          <w:p w14:paraId="728C692E" w14:textId="77777777" w:rsidR="003D4C99" w:rsidRDefault="00000000">
            <w:pPr>
              <w:jc w:val="center"/>
            </w:pPr>
            <w:r>
              <w:rPr>
                <w:rFonts w:ascii="Calibri" w:eastAsia="Calibri" w:hAnsi="Calibri" w:cs="Calibri"/>
                <w:color w:val="1A1A1A"/>
                <w:sz w:val="18"/>
                <w:szCs w:val="18"/>
              </w:rPr>
              <w:t>Group</w:t>
            </w:r>
          </w:p>
        </w:tc>
        <w:tc>
          <w:tcPr>
            <w:tcW w:w="2700" w:type="dxa"/>
            <w:shd w:val="clear" w:color="auto" w:fill="FFFFFF"/>
            <w:tcMar>
              <w:top w:w="100" w:type="dxa"/>
              <w:left w:w="120" w:type="dxa"/>
              <w:bottom w:w="100" w:type="dxa"/>
              <w:right w:w="120" w:type="dxa"/>
            </w:tcMar>
          </w:tcPr>
          <w:p w14:paraId="0FABF0F7" w14:textId="77777777" w:rsidR="003D4C99" w:rsidRDefault="00000000">
            <w:pPr>
              <w:jc w:val="center"/>
            </w:pPr>
            <w:r>
              <w:rPr>
                <w:rFonts w:ascii="Calibri" w:eastAsia="Calibri" w:hAnsi="Calibri" w:cs="Calibri"/>
                <w:b/>
                <w:bCs/>
                <w:color w:val="13294B"/>
                <w:sz w:val="18"/>
                <w:szCs w:val="18"/>
              </w:rPr>
              <w:t>30%</w:t>
            </w:r>
          </w:p>
        </w:tc>
      </w:tr>
      <w:tr w:rsidR="003D4C99" w14:paraId="3E31A188" w14:textId="77777777">
        <w:tc>
          <w:tcPr>
            <w:tcW w:w="4200" w:type="dxa"/>
            <w:shd w:val="clear" w:color="auto" w:fill="F5F1E8"/>
            <w:tcMar>
              <w:top w:w="100" w:type="dxa"/>
              <w:left w:w="120" w:type="dxa"/>
              <w:bottom w:w="100" w:type="dxa"/>
              <w:right w:w="120" w:type="dxa"/>
            </w:tcMar>
          </w:tcPr>
          <w:p w14:paraId="2D3E19C1" w14:textId="77777777" w:rsidR="003D4C99" w:rsidRDefault="00000000">
            <w:r>
              <w:rPr>
                <w:rFonts w:ascii="Calibri" w:eastAsia="Calibri" w:hAnsi="Calibri" w:cs="Calibri"/>
                <w:color w:val="1A1A1A"/>
                <w:sz w:val="18"/>
                <w:szCs w:val="18"/>
              </w:rPr>
              <w:t>Individual Works (M&amp;A Governance Memo; Reflection Paper)</w:t>
            </w:r>
          </w:p>
        </w:tc>
        <w:tc>
          <w:tcPr>
            <w:tcW w:w="2400" w:type="dxa"/>
            <w:shd w:val="clear" w:color="auto" w:fill="F5F1E8"/>
            <w:tcMar>
              <w:top w:w="100" w:type="dxa"/>
              <w:left w:w="120" w:type="dxa"/>
              <w:bottom w:w="100" w:type="dxa"/>
              <w:right w:w="120" w:type="dxa"/>
            </w:tcMar>
          </w:tcPr>
          <w:p w14:paraId="426EBD6E" w14:textId="77777777" w:rsidR="003D4C99" w:rsidRDefault="00000000">
            <w:pPr>
              <w:jc w:val="center"/>
            </w:pPr>
            <w:r>
              <w:rPr>
                <w:rFonts w:ascii="Calibri" w:eastAsia="Calibri" w:hAnsi="Calibri" w:cs="Calibri"/>
                <w:color w:val="1A1A1A"/>
                <w:sz w:val="18"/>
                <w:szCs w:val="18"/>
              </w:rPr>
              <w:t>Individual</w:t>
            </w:r>
          </w:p>
        </w:tc>
        <w:tc>
          <w:tcPr>
            <w:tcW w:w="2700" w:type="dxa"/>
            <w:shd w:val="clear" w:color="auto" w:fill="F5F1E8"/>
            <w:tcMar>
              <w:top w:w="100" w:type="dxa"/>
              <w:left w:w="120" w:type="dxa"/>
              <w:bottom w:w="100" w:type="dxa"/>
              <w:right w:w="120" w:type="dxa"/>
            </w:tcMar>
          </w:tcPr>
          <w:p w14:paraId="2D660745" w14:textId="77777777" w:rsidR="003D4C99" w:rsidRDefault="00000000">
            <w:pPr>
              <w:jc w:val="center"/>
            </w:pPr>
            <w:r>
              <w:rPr>
                <w:rFonts w:ascii="Calibri" w:eastAsia="Calibri" w:hAnsi="Calibri" w:cs="Calibri"/>
                <w:b/>
                <w:bCs/>
                <w:color w:val="13294B"/>
                <w:sz w:val="18"/>
                <w:szCs w:val="18"/>
              </w:rPr>
              <w:t>40%</w:t>
            </w:r>
          </w:p>
        </w:tc>
      </w:tr>
      <w:tr w:rsidR="003D4C99" w14:paraId="7D60ED37" w14:textId="77777777">
        <w:tc>
          <w:tcPr>
            <w:tcW w:w="4200" w:type="dxa"/>
            <w:shd w:val="clear" w:color="auto" w:fill="FFFFFF"/>
            <w:tcMar>
              <w:top w:w="100" w:type="dxa"/>
              <w:left w:w="120" w:type="dxa"/>
              <w:bottom w:w="100" w:type="dxa"/>
              <w:right w:w="120" w:type="dxa"/>
            </w:tcMar>
          </w:tcPr>
          <w:p w14:paraId="110EB27B" w14:textId="77777777" w:rsidR="003D4C99" w:rsidRDefault="00000000">
            <w:r>
              <w:rPr>
                <w:rFonts w:ascii="Calibri" w:eastAsia="Calibri" w:hAnsi="Calibri" w:cs="Calibri"/>
                <w:color w:val="1A1A1A"/>
                <w:sz w:val="18"/>
                <w:szCs w:val="18"/>
              </w:rPr>
              <w:lastRenderedPageBreak/>
              <w:t>Final Board-Level Portfolio &amp; Investment Strategy Presentation</w:t>
            </w:r>
          </w:p>
        </w:tc>
        <w:tc>
          <w:tcPr>
            <w:tcW w:w="2400" w:type="dxa"/>
            <w:shd w:val="clear" w:color="auto" w:fill="FFFFFF"/>
            <w:tcMar>
              <w:top w:w="100" w:type="dxa"/>
              <w:left w:w="120" w:type="dxa"/>
              <w:bottom w:w="100" w:type="dxa"/>
              <w:right w:w="120" w:type="dxa"/>
            </w:tcMar>
          </w:tcPr>
          <w:p w14:paraId="7BE1C483" w14:textId="77777777" w:rsidR="003D4C99" w:rsidRDefault="00000000">
            <w:pPr>
              <w:jc w:val="center"/>
            </w:pPr>
            <w:r>
              <w:rPr>
                <w:rFonts w:ascii="Calibri" w:eastAsia="Calibri" w:hAnsi="Calibri" w:cs="Calibri"/>
                <w:color w:val="1A1A1A"/>
                <w:sz w:val="18"/>
                <w:szCs w:val="18"/>
              </w:rPr>
              <w:t>Group</w:t>
            </w:r>
          </w:p>
        </w:tc>
        <w:tc>
          <w:tcPr>
            <w:tcW w:w="2700" w:type="dxa"/>
            <w:shd w:val="clear" w:color="auto" w:fill="FFFFFF"/>
            <w:tcMar>
              <w:top w:w="100" w:type="dxa"/>
              <w:left w:w="120" w:type="dxa"/>
              <w:bottom w:w="100" w:type="dxa"/>
              <w:right w:w="120" w:type="dxa"/>
            </w:tcMar>
          </w:tcPr>
          <w:p w14:paraId="1F3CDFC3" w14:textId="77777777" w:rsidR="003D4C99" w:rsidRDefault="00000000">
            <w:pPr>
              <w:jc w:val="center"/>
            </w:pPr>
            <w:r>
              <w:rPr>
                <w:rFonts w:ascii="Calibri" w:eastAsia="Calibri" w:hAnsi="Calibri" w:cs="Calibri"/>
                <w:b/>
                <w:bCs/>
                <w:color w:val="13294B"/>
                <w:sz w:val="18"/>
                <w:szCs w:val="18"/>
              </w:rPr>
              <w:t>30%</w:t>
            </w:r>
          </w:p>
        </w:tc>
      </w:tr>
    </w:tbl>
    <w:p w14:paraId="0A794BB9" w14:textId="77777777" w:rsidR="003D4C99" w:rsidRDefault="00000000">
      <w:pPr>
        <w:spacing w:after="140"/>
      </w:pPr>
      <w:r>
        <w:rPr>
          <w:rFonts w:ascii="Calibri" w:eastAsia="Calibri" w:hAnsi="Calibri" w:cs="Calibri"/>
          <w:i/>
          <w:iCs/>
          <w:color w:val="13294B"/>
          <w:sz w:val="21"/>
          <w:szCs w:val="21"/>
        </w:rPr>
        <w:t>Attendance at Sessions 2, 4, and 6 is mandatory — these are the sessions where you engage directly with guest executives and the CEO panel, and where group deliverables are presented and defended.</w:t>
      </w:r>
    </w:p>
    <w:p w14:paraId="6A5AABAE" w14:textId="77777777" w:rsidR="003D4C99" w:rsidRDefault="00000000">
      <w:pPr>
        <w:pStyle w:val="Heading2"/>
        <w:spacing w:before="320" w:after="160"/>
      </w:pPr>
      <w:r>
        <w:rPr>
          <w:rFonts w:ascii="Georgia" w:eastAsia="Georgia" w:hAnsi="Georgia" w:cs="Georgia"/>
          <w:b/>
          <w:bCs/>
          <w:color w:val="13294B"/>
          <w:sz w:val="24"/>
          <w:szCs w:val="24"/>
        </w:rPr>
        <w:t>Theoretical Foundations</w:t>
      </w:r>
    </w:p>
    <w:p w14:paraId="33792A3F" w14:textId="77777777" w:rsidR="003D4C99" w:rsidRDefault="00000000">
      <w:pPr>
        <w:spacing w:after="140"/>
      </w:pPr>
      <w:r>
        <w:rPr>
          <w:rFonts w:ascii="Calibri" w:eastAsia="Calibri" w:hAnsi="Calibri" w:cs="Calibri"/>
          <w:color w:val="1A1A1A"/>
          <w:sz w:val="21"/>
          <w:szCs w:val="21"/>
        </w:rPr>
        <w:t>The course builds on established theory — the Resource-Based View of the Firm, Agency Theory and Fiduciary Responsibility, Transaction Cost Economics, Corporate Portfolio Theory, Capital Allocation and Internal Capital Markets, and Corporate Governance and Board Effectiveness — but the emphasis throughout is application: every framework is tested against a live case, a real regulatory constraint, or a board-level decision you will have to defend out loud.</w:t>
      </w:r>
    </w:p>
    <w:p w14:paraId="4A568C47" w14:textId="77777777" w:rsidR="003D4C99" w:rsidRDefault="00000000">
      <w:pPr>
        <w:pStyle w:val="Heading2"/>
        <w:spacing w:before="320" w:after="160"/>
      </w:pPr>
      <w:r>
        <w:rPr>
          <w:rFonts w:ascii="Georgia" w:eastAsia="Georgia" w:hAnsi="Georgia" w:cs="Georgia"/>
          <w:b/>
          <w:bCs/>
          <w:color w:val="13294B"/>
          <w:sz w:val="24"/>
          <w:szCs w:val="24"/>
        </w:rPr>
        <w:t xml:space="preserve">What to Expect </w:t>
      </w:r>
      <w:proofErr w:type="gramStart"/>
      <w:r>
        <w:rPr>
          <w:rFonts w:ascii="Georgia" w:eastAsia="Georgia" w:hAnsi="Georgia" w:cs="Georgia"/>
          <w:b/>
          <w:bCs/>
          <w:color w:val="13294B"/>
          <w:sz w:val="24"/>
          <w:szCs w:val="24"/>
        </w:rPr>
        <w:t>From</w:t>
      </w:r>
      <w:proofErr w:type="gramEnd"/>
      <w:r>
        <w:rPr>
          <w:rFonts w:ascii="Georgia" w:eastAsia="Georgia" w:hAnsi="Georgia" w:cs="Georgia"/>
          <w:b/>
          <w:bCs/>
          <w:color w:val="13294B"/>
          <w:sz w:val="24"/>
          <w:szCs w:val="24"/>
        </w:rPr>
        <w:t xml:space="preserve"> Yourself</w:t>
      </w:r>
    </w:p>
    <w:p w14:paraId="75504E04" w14:textId="77777777" w:rsidR="003D4C99" w:rsidRDefault="00000000">
      <w:pPr>
        <w:pStyle w:val="ListParagraph"/>
        <w:numPr>
          <w:ilvl w:val="0"/>
          <w:numId w:val="2"/>
        </w:numPr>
        <w:spacing w:after="110"/>
      </w:pPr>
      <w:r>
        <w:rPr>
          <w:rFonts w:ascii="Calibri" w:eastAsia="Calibri" w:hAnsi="Calibri" w:cs="Calibri"/>
          <w:color w:val="1A1A1A"/>
          <w:sz w:val="21"/>
          <w:szCs w:val="21"/>
        </w:rPr>
        <w:t>Come to each session having done the assigned reading — case discussions and simulations assume it, and this matters even more given the crash-course pace.</w:t>
      </w:r>
    </w:p>
    <w:p w14:paraId="24CDE192" w14:textId="77777777" w:rsidR="003D4C99" w:rsidRDefault="00000000">
      <w:pPr>
        <w:pStyle w:val="ListParagraph"/>
        <w:numPr>
          <w:ilvl w:val="0"/>
          <w:numId w:val="2"/>
        </w:numPr>
        <w:spacing w:after="110"/>
      </w:pPr>
      <w:r>
        <w:rPr>
          <w:rFonts w:ascii="Calibri" w:eastAsia="Calibri" w:hAnsi="Calibri" w:cs="Calibri"/>
          <w:color w:val="1A1A1A"/>
          <w:sz w:val="21"/>
          <w:szCs w:val="21"/>
        </w:rPr>
        <w:t xml:space="preserve">Treat the executive dialogues and CEO </w:t>
      </w:r>
      <w:proofErr w:type="gramStart"/>
      <w:r>
        <w:rPr>
          <w:rFonts w:ascii="Calibri" w:eastAsia="Calibri" w:hAnsi="Calibri" w:cs="Calibri"/>
          <w:color w:val="1A1A1A"/>
          <w:sz w:val="21"/>
          <w:szCs w:val="21"/>
        </w:rPr>
        <w:t>panel as</w:t>
      </w:r>
      <w:proofErr w:type="gramEnd"/>
      <w:r>
        <w:rPr>
          <w:rFonts w:ascii="Calibri" w:eastAsia="Calibri" w:hAnsi="Calibri" w:cs="Calibri"/>
          <w:color w:val="1A1A1A"/>
          <w:sz w:val="21"/>
          <w:szCs w:val="21"/>
        </w:rPr>
        <w:t xml:space="preserve"> working sessions, not </w:t>
      </w:r>
      <w:proofErr w:type="gramStart"/>
      <w:r>
        <w:rPr>
          <w:rFonts w:ascii="Calibri" w:eastAsia="Calibri" w:hAnsi="Calibri" w:cs="Calibri"/>
          <w:color w:val="1A1A1A"/>
          <w:sz w:val="21"/>
          <w:szCs w:val="21"/>
        </w:rPr>
        <w:t>lectures:</w:t>
      </w:r>
      <w:proofErr w:type="gramEnd"/>
      <w:r>
        <w:rPr>
          <w:rFonts w:ascii="Calibri" w:eastAsia="Calibri" w:hAnsi="Calibri" w:cs="Calibri"/>
          <w:color w:val="1A1A1A"/>
          <w:sz w:val="21"/>
          <w:szCs w:val="21"/>
        </w:rPr>
        <w:t xml:space="preserve"> you will be asked direct questions.</w:t>
      </w:r>
    </w:p>
    <w:p w14:paraId="09536A18" w14:textId="77777777" w:rsidR="003D4C99" w:rsidRDefault="00000000">
      <w:pPr>
        <w:pStyle w:val="ListParagraph"/>
        <w:numPr>
          <w:ilvl w:val="0"/>
          <w:numId w:val="2"/>
        </w:numPr>
        <w:spacing w:after="110"/>
      </w:pPr>
      <w:r>
        <w:rPr>
          <w:rFonts w:ascii="Calibri" w:eastAsia="Calibri" w:hAnsi="Calibri" w:cs="Calibri"/>
          <w:color w:val="1A1A1A"/>
          <w:sz w:val="21"/>
          <w:szCs w:val="21"/>
        </w:rPr>
        <w:t>Engage actively in peer debate — executive-level disagreement is a core part of how this course teaches, not a disruption to it.</w:t>
      </w:r>
    </w:p>
    <w:p w14:paraId="6019DC34" w14:textId="77777777" w:rsidR="003D4C99" w:rsidRDefault="00000000">
      <w:pPr>
        <w:pStyle w:val="ListParagraph"/>
        <w:numPr>
          <w:ilvl w:val="0"/>
          <w:numId w:val="2"/>
        </w:numPr>
        <w:spacing w:after="110"/>
      </w:pPr>
      <w:r>
        <w:rPr>
          <w:rFonts w:ascii="Calibri" w:eastAsia="Calibri" w:hAnsi="Calibri" w:cs="Calibri"/>
          <w:color w:val="1A1A1A"/>
          <w:sz w:val="21"/>
          <w:szCs w:val="21"/>
        </w:rPr>
        <w:t>Track your own group's deliverables against the assessment weights above so nothing is a surprise in Session 6.</w:t>
      </w:r>
    </w:p>
    <w:p w14:paraId="5B21ADA7" w14:textId="77777777" w:rsidR="003D4C99" w:rsidRDefault="00000000">
      <w:r>
        <w:br w:type="page"/>
      </w:r>
    </w:p>
    <w:p w14:paraId="360FB5B0" w14:textId="77777777" w:rsidR="003D4C99" w:rsidRDefault="00000000">
      <w:pPr>
        <w:pStyle w:val="Heading1"/>
        <w:pBdr>
          <w:bottom w:val="single" w:sz="6" w:space="4" w:color="B08D3D"/>
        </w:pBdr>
        <w:spacing w:before="320" w:after="160"/>
      </w:pPr>
      <w:r>
        <w:rPr>
          <w:rFonts w:ascii="Georgia" w:eastAsia="Georgia" w:hAnsi="Georgia" w:cs="Georgia"/>
          <w:b/>
          <w:bCs/>
          <w:color w:val="0B1E39"/>
          <w:sz w:val="30"/>
          <w:szCs w:val="30"/>
        </w:rPr>
        <w:lastRenderedPageBreak/>
        <w:t>Use of Artificial Intelligence</w:t>
      </w:r>
    </w:p>
    <w:p w14:paraId="13B9E87F" w14:textId="77777777" w:rsidR="003D4C99" w:rsidRDefault="00000000">
      <w:pPr>
        <w:spacing w:after="140"/>
      </w:pPr>
      <w:r>
        <w:rPr>
          <w:rFonts w:ascii="Calibri" w:eastAsia="Calibri" w:hAnsi="Calibri" w:cs="Calibri"/>
          <w:color w:val="1A1A1A"/>
          <w:sz w:val="21"/>
          <w:szCs w:val="21"/>
        </w:rPr>
        <w:t>You are welcome to use AI tools while preparing for this course. To get the maximum benefit from that use, you are expected to bring your own analytical judgment and research capability to the work — using AI to accelerate and support your thinking, not to substitute for it.</w:t>
      </w:r>
    </w:p>
    <w:p w14:paraId="5E191585" w14:textId="77777777" w:rsidR="003D4C99" w:rsidRDefault="00000000">
      <w:pPr>
        <w:spacing w:after="140"/>
      </w:pPr>
      <w:r>
        <w:rPr>
          <w:rFonts w:ascii="Calibri" w:eastAsia="Calibri" w:hAnsi="Calibri" w:cs="Calibri"/>
          <w:color w:val="1A1A1A"/>
          <w:sz w:val="21"/>
          <w:szCs w:val="21"/>
        </w:rPr>
        <w:t xml:space="preserve">In practice, this </w:t>
      </w:r>
      <w:proofErr w:type="gramStart"/>
      <w:r>
        <w:rPr>
          <w:rFonts w:ascii="Calibri" w:eastAsia="Calibri" w:hAnsi="Calibri" w:cs="Calibri"/>
          <w:color w:val="1A1A1A"/>
          <w:sz w:val="21"/>
          <w:szCs w:val="21"/>
        </w:rPr>
        <w:t>means:</w:t>
      </w:r>
      <w:proofErr w:type="gramEnd"/>
      <w:r>
        <w:rPr>
          <w:rFonts w:ascii="Calibri" w:eastAsia="Calibri" w:hAnsi="Calibri" w:cs="Calibri"/>
          <w:color w:val="1A1A1A"/>
          <w:sz w:val="21"/>
          <w:szCs w:val="21"/>
        </w:rPr>
        <w:t xml:space="preserve"> use AI to explore a framework faster, stress-test an argument, or pull together background research — but the judgment behind your portfolio diagnostic, your governance memo, and your board-level recommendation should be yours. In the executive dialogues, the CEO panel, and any in-class cold call, you will be asked to defend your reasoning directly — that reasoning needs to be something you can stand behind.</w:t>
      </w:r>
    </w:p>
    <w:p w14:paraId="035B70CD" w14:textId="77777777" w:rsidR="003D4C99" w:rsidRDefault="00000000">
      <w:pPr>
        <w:pStyle w:val="Heading1"/>
        <w:pBdr>
          <w:bottom w:val="single" w:sz="6" w:space="4" w:color="B08D3D"/>
        </w:pBdr>
        <w:spacing w:before="320" w:after="160"/>
      </w:pPr>
      <w:r>
        <w:rPr>
          <w:rFonts w:ascii="Georgia" w:eastAsia="Georgia" w:hAnsi="Georgia" w:cs="Georgia"/>
          <w:b/>
          <w:bCs/>
          <w:color w:val="0B1E39"/>
          <w:sz w:val="30"/>
          <w:szCs w:val="30"/>
        </w:rPr>
        <w:t>Participation</w:t>
      </w:r>
    </w:p>
    <w:p w14:paraId="66032803" w14:textId="77777777" w:rsidR="003D4C99" w:rsidRDefault="00000000">
      <w:pPr>
        <w:spacing w:after="140"/>
      </w:pPr>
      <w:r>
        <w:rPr>
          <w:rFonts w:ascii="Calibri" w:eastAsia="Calibri" w:hAnsi="Calibri" w:cs="Calibri"/>
          <w:color w:val="1A1A1A"/>
          <w:sz w:val="21"/>
          <w:szCs w:val="21"/>
        </w:rPr>
        <w:t>Being an active participant matters as much as being a prepared one. This course is built around case discussion, simulation, and live executive engagement — formats that only work if you show up ready to contribute, challenge, and be challenged. Passive attendance will cost you far more here than in a conventional lecture-based course.</w:t>
      </w:r>
    </w:p>
    <w:p w14:paraId="2222D621" w14:textId="77777777" w:rsidR="003D4C99" w:rsidRDefault="00000000">
      <w:pPr>
        <w:pStyle w:val="Heading1"/>
        <w:pBdr>
          <w:bottom w:val="single" w:sz="6" w:space="4" w:color="B08D3D"/>
        </w:pBdr>
        <w:spacing w:before="320" w:after="160"/>
      </w:pPr>
      <w:r>
        <w:rPr>
          <w:rFonts w:ascii="Georgia" w:eastAsia="Georgia" w:hAnsi="Georgia" w:cs="Georgia"/>
          <w:b/>
          <w:bCs/>
          <w:color w:val="0B1E39"/>
          <w:sz w:val="30"/>
          <w:szCs w:val="30"/>
        </w:rPr>
        <w:t>Questions Are Always Welcome</w:t>
      </w:r>
    </w:p>
    <w:p w14:paraId="2D7D7E11" w14:textId="77777777" w:rsidR="003D4C99" w:rsidRDefault="00000000">
      <w:pPr>
        <w:spacing w:after="140"/>
      </w:pPr>
      <w:r>
        <w:rPr>
          <w:rFonts w:ascii="Calibri" w:eastAsia="Calibri" w:hAnsi="Calibri" w:cs="Calibri"/>
          <w:color w:val="1A1A1A"/>
          <w:sz w:val="21"/>
          <w:szCs w:val="21"/>
        </w:rPr>
        <w:t>Questions are welcome at any time, through any medium — in session, by email, or otherwise. If something in a reading, a session, or an assignment is unclear, raise it as soon as it comes up rather than sitting with it until the next class.</w:t>
      </w:r>
    </w:p>
    <w:sectPr w:rsidR="003D4C99">
      <w:headerReference w:type="default" r:id="rId7"/>
      <w:footerReference w:type="default" r:id="rId8"/>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8AB7" w14:textId="77777777" w:rsidR="00A4438D" w:rsidRDefault="00A4438D">
      <w:r>
        <w:separator/>
      </w:r>
    </w:p>
  </w:endnote>
  <w:endnote w:type="continuationSeparator" w:id="0">
    <w:p w14:paraId="2340AC84" w14:textId="77777777" w:rsidR="00A4438D" w:rsidRDefault="00A4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EF46" w14:textId="2D825333" w:rsidR="003D4C99" w:rsidRDefault="006E60B2">
    <w:pPr>
      <w:jc w:val="center"/>
    </w:pPr>
    <w:r>
      <w:rPr>
        <w:rFonts w:ascii="Calibri" w:eastAsia="Calibri" w:hAnsi="Calibri" w:cs="Calibri"/>
        <w:noProof/>
        <w:color w:val="5A5A5A"/>
        <w:sz w:val="16"/>
        <w:szCs w:val="16"/>
      </w:rPr>
      <mc:AlternateContent>
        <mc:Choice Requires="wps">
          <w:drawing>
            <wp:anchor distT="0" distB="0" distL="0" distR="0" simplePos="0" relativeHeight="251661312" behindDoc="0" locked="0" layoutInCell="1" allowOverlap="1" wp14:anchorId="7BBE872B" wp14:editId="592520B6">
              <wp:simplePos x="695325" y="10115550"/>
              <wp:positionH relativeFrom="page">
                <wp:align>left</wp:align>
              </wp:positionH>
              <wp:positionV relativeFrom="page">
                <wp:align>bottom</wp:align>
              </wp:positionV>
              <wp:extent cx="515620" cy="314325"/>
              <wp:effectExtent l="0" t="0" r="17780" b="0"/>
              <wp:wrapNone/>
              <wp:docPr id="255958637" name="Text Box 4"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5620" cy="314325"/>
                      </a:xfrm>
                      <a:prstGeom prst="rect">
                        <a:avLst/>
                      </a:prstGeom>
                      <a:noFill/>
                      <a:ln>
                        <a:noFill/>
                      </a:ln>
                    </wps:spPr>
                    <wps:txbx>
                      <w:txbxContent>
                        <w:p w14:paraId="35728498" w14:textId="055582A1" w:rsidR="006E60B2" w:rsidRPr="006E60B2" w:rsidRDefault="006E60B2" w:rsidP="006E60B2">
                          <w:pPr>
                            <w:rPr>
                              <w:rFonts w:ascii="Aptos" w:eastAsia="Aptos" w:hAnsi="Aptos" w:cs="Aptos"/>
                              <w:noProof/>
                              <w:color w:val="000000"/>
                              <w:sz w:val="16"/>
                              <w:szCs w:val="16"/>
                            </w:rPr>
                          </w:pPr>
                          <w:r w:rsidRPr="006E60B2">
                            <w:rPr>
                              <w:rFonts w:ascii="Aptos" w:eastAsia="Aptos" w:hAnsi="Aptos" w:cs="Aptos"/>
                              <w:noProof/>
                              <w:color w:val="000000"/>
                              <w:sz w:val="16"/>
                              <w:szCs w:val="16"/>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BE872B" id="_x0000_t202" coordsize="21600,21600" o:spt="202" path="m,l,21600r21600,l21600,xe">
              <v:stroke joinstyle="miter"/>
              <v:path gradientshapeok="t" o:connecttype="rect"/>
            </v:shapetype>
            <v:shape id="Text Box 4" o:spid="_x0000_s1026" type="#_x0000_t202" alt="Genel" style="position:absolute;left:0;text-align:left;margin-left:0;margin-top:0;width:40.6pt;height:24.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" filled="f" stroked="f">
              <v:textbox style="mso-fit-shape-to-text:t" inset="20pt,0,0,15pt">
                <w:txbxContent>
                  <w:p w14:paraId="35728498" w14:textId="055582A1" w:rsidR="006E60B2" w:rsidRPr="006E60B2" w:rsidRDefault="006E60B2" w:rsidP="006E60B2">
                    <w:pPr>
                      <w:rPr>
                        <w:rFonts w:ascii="Aptos" w:eastAsia="Aptos" w:hAnsi="Aptos" w:cs="Aptos"/>
                        <w:noProof/>
                        <w:color w:val="000000"/>
                        <w:sz w:val="16"/>
                        <w:szCs w:val="16"/>
                      </w:rPr>
                    </w:pPr>
                    <w:r w:rsidRPr="006E60B2">
                      <w:rPr>
                        <w:rFonts w:ascii="Aptos" w:eastAsia="Aptos" w:hAnsi="Aptos" w:cs="Aptos"/>
                        <w:noProof/>
                        <w:color w:val="000000"/>
                        <w:sz w:val="16"/>
                        <w:szCs w:val="16"/>
                      </w:rPr>
                      <w:t>Genel</w:t>
                    </w:r>
                  </w:p>
                </w:txbxContent>
              </v:textbox>
              <w10:wrap anchorx="page" anchory="page"/>
            </v:shape>
          </w:pict>
        </mc:Fallback>
      </mc:AlternateContent>
    </w:r>
    <w:r>
      <w:rPr>
        <w:rFonts w:ascii="Calibri" w:eastAsia="Calibri" w:hAnsi="Calibri" w:cs="Calibri"/>
        <w:color w:val="5A5A5A"/>
        <w:sz w:val="16"/>
        <w:szCs w:val="16"/>
      </w:rPr>
      <w:t xml:space="preserve">Page </w:t>
    </w:r>
    <w:r>
      <w:rPr>
        <w:rFonts w:ascii="Calibri" w:eastAsia="Calibri" w:hAnsi="Calibri" w:cs="Calibri"/>
        <w:color w:val="5A5A5A"/>
        <w:sz w:val="16"/>
        <w:szCs w:val="16"/>
      </w:rPr>
      <w:fldChar w:fldCharType="begin"/>
    </w:r>
    <w:r>
      <w:rPr>
        <w:rFonts w:ascii="Calibri" w:eastAsia="Calibri" w:hAnsi="Calibri" w:cs="Calibri"/>
        <w:color w:val="5A5A5A"/>
        <w:sz w:val="16"/>
        <w:szCs w:val="16"/>
      </w:rPr>
      <w:instrText>PAGE</w:instrText>
    </w:r>
    <w:r>
      <w:rPr>
        <w:rFonts w:ascii="Calibri" w:eastAsia="Calibri" w:hAnsi="Calibri" w:cs="Calibri"/>
        <w:color w:val="5A5A5A"/>
        <w:sz w:val="16"/>
        <w:szCs w:val="16"/>
      </w:rPr>
      <w:fldChar w:fldCharType="separate"/>
    </w:r>
    <w:r>
      <w:rPr>
        <w:rFonts w:ascii="Calibri" w:eastAsia="Calibri" w:hAnsi="Calibri" w:cs="Calibri"/>
        <w:noProof/>
        <w:color w:val="5A5A5A"/>
        <w:sz w:val="16"/>
        <w:szCs w:val="16"/>
      </w:rPr>
      <w:t>2</w:t>
    </w:r>
    <w:r>
      <w:rPr>
        <w:rFonts w:ascii="Calibri" w:eastAsia="Calibri" w:hAnsi="Calibri" w:cs="Calibri"/>
        <w:color w:val="5A5A5A"/>
        <w:sz w:val="16"/>
        <w:szCs w:val="16"/>
      </w:rPr>
      <w:fldChar w:fldCharType="end"/>
    </w:r>
    <w:r>
      <w:rPr>
        <w:rFonts w:ascii="Calibri" w:eastAsia="Calibri" w:hAnsi="Calibri" w:cs="Calibri"/>
        <w:color w:val="5A5A5A"/>
        <w:sz w:val="16"/>
        <w:szCs w:val="16"/>
      </w:rPr>
      <w:t xml:space="preserve"> of </w:t>
    </w:r>
    <w:r>
      <w:rPr>
        <w:rFonts w:ascii="Calibri" w:eastAsia="Calibri" w:hAnsi="Calibri" w:cs="Calibri"/>
        <w:color w:val="5A5A5A"/>
        <w:sz w:val="16"/>
        <w:szCs w:val="16"/>
      </w:rPr>
      <w:fldChar w:fldCharType="begin"/>
    </w:r>
    <w:r>
      <w:rPr>
        <w:rFonts w:ascii="Calibri" w:eastAsia="Calibri" w:hAnsi="Calibri" w:cs="Calibri"/>
        <w:color w:val="5A5A5A"/>
        <w:sz w:val="16"/>
        <w:szCs w:val="16"/>
      </w:rPr>
      <w:instrText>NUMPAGES</w:instrText>
    </w:r>
    <w:r>
      <w:rPr>
        <w:rFonts w:ascii="Calibri" w:eastAsia="Calibri" w:hAnsi="Calibri" w:cs="Calibri"/>
        <w:color w:val="5A5A5A"/>
        <w:sz w:val="16"/>
        <w:szCs w:val="16"/>
      </w:rPr>
      <w:fldChar w:fldCharType="separate"/>
    </w:r>
    <w:r>
      <w:rPr>
        <w:rFonts w:ascii="Calibri" w:eastAsia="Calibri" w:hAnsi="Calibri" w:cs="Calibri"/>
        <w:noProof/>
        <w:color w:val="5A5A5A"/>
        <w:sz w:val="16"/>
        <w:szCs w:val="16"/>
      </w:rPr>
      <w:t>3</w:t>
    </w:r>
    <w:r>
      <w:rPr>
        <w:rFonts w:ascii="Calibri" w:eastAsia="Calibri" w:hAnsi="Calibri" w:cs="Calibri"/>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FF81" w14:textId="77777777" w:rsidR="00A4438D" w:rsidRDefault="00A4438D">
      <w:r>
        <w:separator/>
      </w:r>
    </w:p>
  </w:footnote>
  <w:footnote w:type="continuationSeparator" w:id="0">
    <w:p w14:paraId="5DBE26E0" w14:textId="77777777" w:rsidR="00A4438D" w:rsidRDefault="00A4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78D4" w14:textId="77777777" w:rsidR="003D4C99" w:rsidRDefault="00000000">
    <w:pPr>
      <w:pBdr>
        <w:bottom w:val="single" w:sz="4" w:space="4" w:color="D9C48A"/>
      </w:pBdr>
      <w:jc w:val="right"/>
    </w:pPr>
    <w:r>
      <w:rPr>
        <w:rFonts w:ascii="Calibri" w:eastAsia="Calibri" w:hAnsi="Calibri" w:cs="Calibri"/>
        <w:color w:val="5A5A5A"/>
        <w:sz w:val="16"/>
        <w:szCs w:val="16"/>
      </w:rPr>
      <w:t>ADEX 547 · Course Overview &amp; Module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BE7"/>
    <w:multiLevelType w:val="hybridMultilevel"/>
    <w:tmpl w:val="916A0FA6"/>
    <w:lvl w:ilvl="0" w:tplc="BD363ED2">
      <w:start w:val="1"/>
      <w:numFmt w:val="decimal"/>
      <w:lvlText w:val="%1."/>
      <w:lvlJc w:val="left"/>
    </w:lvl>
    <w:lvl w:ilvl="1" w:tplc="4AB67CE6">
      <w:numFmt w:val="decimal"/>
      <w:lvlText w:val=""/>
      <w:lvlJc w:val="left"/>
    </w:lvl>
    <w:lvl w:ilvl="2" w:tplc="FD16D39A">
      <w:numFmt w:val="decimal"/>
      <w:lvlText w:val=""/>
      <w:lvlJc w:val="left"/>
    </w:lvl>
    <w:lvl w:ilvl="3" w:tplc="433A947A">
      <w:numFmt w:val="decimal"/>
      <w:lvlText w:val=""/>
      <w:lvlJc w:val="left"/>
    </w:lvl>
    <w:lvl w:ilvl="4" w:tplc="AFDC1D84">
      <w:numFmt w:val="decimal"/>
      <w:lvlText w:val=""/>
      <w:lvlJc w:val="left"/>
    </w:lvl>
    <w:lvl w:ilvl="5" w:tplc="D6D09D18">
      <w:numFmt w:val="decimal"/>
      <w:lvlText w:val=""/>
      <w:lvlJc w:val="left"/>
    </w:lvl>
    <w:lvl w:ilvl="6" w:tplc="2C981DE2">
      <w:numFmt w:val="decimal"/>
      <w:lvlText w:val=""/>
      <w:lvlJc w:val="left"/>
    </w:lvl>
    <w:lvl w:ilvl="7" w:tplc="C4B8584C">
      <w:numFmt w:val="decimal"/>
      <w:lvlText w:val=""/>
      <w:lvlJc w:val="left"/>
    </w:lvl>
    <w:lvl w:ilvl="8" w:tplc="C936ACF0">
      <w:numFmt w:val="decimal"/>
      <w:lvlText w:val=""/>
      <w:lvlJc w:val="left"/>
    </w:lvl>
  </w:abstractNum>
  <w:abstractNum w:abstractNumId="1" w15:restartNumberingAfterBreak="0">
    <w:nsid w:val="026F08CF"/>
    <w:multiLevelType w:val="hybridMultilevel"/>
    <w:tmpl w:val="F0547AC2"/>
    <w:lvl w:ilvl="0" w:tplc="04E62F24">
      <w:start w:val="1"/>
      <w:numFmt w:val="bullet"/>
      <w:lvlText w:val="●"/>
      <w:lvlJc w:val="left"/>
      <w:pPr>
        <w:ind w:left="720" w:hanging="360"/>
      </w:pPr>
    </w:lvl>
    <w:lvl w:ilvl="1" w:tplc="C0889196">
      <w:start w:val="1"/>
      <w:numFmt w:val="bullet"/>
      <w:lvlText w:val="○"/>
      <w:lvlJc w:val="left"/>
      <w:pPr>
        <w:ind w:left="1440" w:hanging="360"/>
      </w:pPr>
    </w:lvl>
    <w:lvl w:ilvl="2" w:tplc="99ACEE92">
      <w:start w:val="1"/>
      <w:numFmt w:val="bullet"/>
      <w:lvlText w:val="■"/>
      <w:lvlJc w:val="left"/>
      <w:pPr>
        <w:ind w:left="2160" w:hanging="360"/>
      </w:pPr>
    </w:lvl>
    <w:lvl w:ilvl="3" w:tplc="EC6C8E82">
      <w:start w:val="1"/>
      <w:numFmt w:val="bullet"/>
      <w:lvlText w:val="●"/>
      <w:lvlJc w:val="left"/>
      <w:pPr>
        <w:ind w:left="2880" w:hanging="360"/>
      </w:pPr>
    </w:lvl>
    <w:lvl w:ilvl="4" w:tplc="AA864BEC">
      <w:start w:val="1"/>
      <w:numFmt w:val="bullet"/>
      <w:lvlText w:val="○"/>
      <w:lvlJc w:val="left"/>
      <w:pPr>
        <w:ind w:left="3600" w:hanging="360"/>
      </w:pPr>
    </w:lvl>
    <w:lvl w:ilvl="5" w:tplc="31306432">
      <w:start w:val="1"/>
      <w:numFmt w:val="bullet"/>
      <w:lvlText w:val="■"/>
      <w:lvlJc w:val="left"/>
      <w:pPr>
        <w:ind w:left="4320" w:hanging="360"/>
      </w:pPr>
    </w:lvl>
    <w:lvl w:ilvl="6" w:tplc="2A6E25C4">
      <w:start w:val="1"/>
      <w:numFmt w:val="bullet"/>
      <w:lvlText w:val="●"/>
      <w:lvlJc w:val="left"/>
      <w:pPr>
        <w:ind w:left="5040" w:hanging="360"/>
      </w:pPr>
    </w:lvl>
    <w:lvl w:ilvl="7" w:tplc="16F88ABE">
      <w:start w:val="1"/>
      <w:numFmt w:val="bullet"/>
      <w:lvlText w:val="●"/>
      <w:lvlJc w:val="left"/>
      <w:pPr>
        <w:ind w:left="5760" w:hanging="360"/>
      </w:pPr>
    </w:lvl>
    <w:lvl w:ilvl="8" w:tplc="35D469EE">
      <w:start w:val="1"/>
      <w:numFmt w:val="bullet"/>
      <w:lvlText w:val="●"/>
      <w:lvlJc w:val="left"/>
      <w:pPr>
        <w:ind w:left="6480" w:hanging="360"/>
      </w:pPr>
    </w:lvl>
  </w:abstractNum>
  <w:num w:numId="1" w16cid:durableId="1605528021">
    <w:abstractNumId w:val="1"/>
    <w:lvlOverride w:ilvl="0">
      <w:startOverride w:val="1"/>
    </w:lvlOverride>
  </w:num>
  <w:num w:numId="2" w16cid:durableId="1582064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99"/>
    <w:rsid w:val="00270215"/>
    <w:rsid w:val="003D4C99"/>
    <w:rsid w:val="006E60B2"/>
    <w:rsid w:val="008113C5"/>
    <w:rsid w:val="00A4438D"/>
    <w:rsid w:val="00A53EBF"/>
    <w:rsid w:val="00AA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870F"/>
  <w15:docId w15:val="{5C36C2DC-658B-4D79-83E6-8BD482CE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6E60B2"/>
    <w:pPr>
      <w:tabs>
        <w:tab w:val="center" w:pos="4703"/>
        <w:tab w:val="right" w:pos="9406"/>
      </w:tabs>
    </w:pPr>
  </w:style>
  <w:style w:type="character" w:customStyle="1" w:styleId="FooterChar">
    <w:name w:val="Footer Char"/>
    <w:basedOn w:val="DefaultParagraphFont"/>
    <w:link w:val="Footer"/>
    <w:uiPriority w:val="99"/>
    <w:rsid w:val="006E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Hakan GÖRAL</cp:lastModifiedBy>
  <cp:revision>3</cp:revision>
  <dcterms:created xsi:type="dcterms:W3CDTF">2026-07-15T18:07:00Z</dcterms:created>
  <dcterms:modified xsi:type="dcterms:W3CDTF">2026-07-16T19:34:00Z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5d702f54,11e46fe0,184dde6e,f419e6d</vt:lpwstr>
  </property>
  <property fmtid="{D5CDD505-2E9C-101B-9397-08002B2CF9AE}" pid="3" name="ClassificationContentMarkingFooterFontProps">
    <vt:lpwstr>#000000,8,Aptos</vt:lpwstr>
  </property>
  <property fmtid="{D5CDD505-2E9C-101B-9397-08002B2CF9AE}" pid="4" name="ClassificationContentMarkingFooterText">
    <vt:lpwstr>Genel</vt:lpwstr>
  </property>
  <property fmtid="{D5CDD505-2E9C-101B-9397-08002B2CF9AE}" pid="5" name="MSIP_Label_acff1a8a-89d5-4a8c-b5a7-ac0ac2e7842a_Enabled">
    <vt:lpwstr>true</vt:lpwstr>
  </property>
  <property fmtid="{D5CDD505-2E9C-101B-9397-08002B2CF9AE}" pid="6" name="MSIP_Label_acff1a8a-89d5-4a8c-b5a7-ac0ac2e7842a_SetDate">
    <vt:lpwstr>2026-07-15T18:07:42Z</vt:lpwstr>
  </property>
  <property fmtid="{D5CDD505-2E9C-101B-9397-08002B2CF9AE}" pid="7" name="MSIP_Label_acff1a8a-89d5-4a8c-b5a7-ac0ac2e7842a_Method">
    <vt:lpwstr>Standard</vt:lpwstr>
  </property>
  <property fmtid="{D5CDD505-2E9C-101B-9397-08002B2CF9AE}" pid="8" name="MSIP_Label_acff1a8a-89d5-4a8c-b5a7-ac0ac2e7842a_Name">
    <vt:lpwstr>Genel</vt:lpwstr>
  </property>
  <property fmtid="{D5CDD505-2E9C-101B-9397-08002B2CF9AE}" pid="9" name="MSIP_Label_acff1a8a-89d5-4a8c-b5a7-ac0ac2e7842a_SiteId">
    <vt:lpwstr>f39afd33-db8a-440d-bdb5-343eeee32707</vt:lpwstr>
  </property>
  <property fmtid="{D5CDD505-2E9C-101B-9397-08002B2CF9AE}" pid="10" name="MSIP_Label_acff1a8a-89d5-4a8c-b5a7-ac0ac2e7842a_ActionId">
    <vt:lpwstr>dafb73f3-9678-4b9a-8210-4aa6ce0fbbe2</vt:lpwstr>
  </property>
  <property fmtid="{D5CDD505-2E9C-101B-9397-08002B2CF9AE}" pid="11" name="MSIP_Label_acff1a8a-89d5-4a8c-b5a7-ac0ac2e7842a_ContentBits">
    <vt:lpwstr>2</vt:lpwstr>
  </property>
  <property fmtid="{D5CDD505-2E9C-101B-9397-08002B2CF9AE}" pid="12" name="MSIP_Label_acff1a8a-89d5-4a8c-b5a7-ac0ac2e7842a_Tag">
    <vt:lpwstr>10, 3, 0, 1</vt:lpwstr>
  </property>
</Properties>
</file>