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2109" w14:textId="77777777" w:rsidR="00EE19F8" w:rsidRDefault="00000000">
      <w:pPr>
        <w:spacing w:before="100"/>
        <w:jc w:val="center"/>
      </w:pPr>
      <w:r>
        <w:rPr>
          <w:rFonts w:ascii="Georgia" w:eastAsia="Georgia" w:hAnsi="Georgia" w:cs="Georgia"/>
          <w:b/>
          <w:bCs/>
          <w:color w:val="B08D3D"/>
          <w:sz w:val="24"/>
          <w:szCs w:val="24"/>
        </w:rPr>
        <w:t>ADEX 547</w:t>
      </w:r>
    </w:p>
    <w:p w14:paraId="373338F3" w14:textId="77777777" w:rsidR="00EE19F8" w:rsidRDefault="00000000">
      <w:pPr>
        <w:spacing w:before="80" w:after="260"/>
        <w:jc w:val="center"/>
      </w:pPr>
      <w:r>
        <w:rPr>
          <w:rFonts w:ascii="Calibri" w:eastAsia="Calibri" w:hAnsi="Calibri" w:cs="Calibri"/>
          <w:color w:val="5A5A5A"/>
        </w:rPr>
        <w:t>Corporate Strategy, Portfolio and Investment Leadership</w:t>
      </w:r>
    </w:p>
    <w:p w14:paraId="431CA495" w14:textId="77777777" w:rsidR="00EE19F8" w:rsidRDefault="00000000">
      <w:pPr>
        <w:pBdr>
          <w:top w:val="single" w:sz="4" w:space="6" w:color="B08D3D"/>
          <w:bottom w:val="single" w:sz="4" w:space="6" w:color="B08D3D"/>
        </w:pBdr>
        <w:spacing w:after="220"/>
      </w:pPr>
      <w:r>
        <w:rPr>
          <w:rFonts w:ascii="Georgia" w:eastAsia="Georgia" w:hAnsi="Georgia" w:cs="Georgia"/>
          <w:b/>
          <w:bCs/>
          <w:color w:val="0B1E39"/>
          <w:sz w:val="32"/>
          <w:szCs w:val="32"/>
        </w:rPr>
        <w:t>MEMORANDUM</w:t>
      </w:r>
    </w:p>
    <w:p w14:paraId="3CE2CDF5" w14:textId="77777777" w:rsidR="00EE19F8" w:rsidRDefault="00000000">
      <w:pPr>
        <w:spacing w:after="60"/>
      </w:pPr>
      <w:r>
        <w:rPr>
          <w:rFonts w:ascii="Calibri" w:eastAsia="Calibri" w:hAnsi="Calibri" w:cs="Calibri"/>
          <w:b/>
          <w:bCs/>
          <w:color w:val="13294B"/>
          <w:sz w:val="21"/>
          <w:szCs w:val="21"/>
        </w:rPr>
        <w:t xml:space="preserve">To:      </w:t>
      </w:r>
      <w:r>
        <w:rPr>
          <w:rFonts w:ascii="Calibri" w:eastAsia="Calibri" w:hAnsi="Calibri" w:cs="Calibri"/>
          <w:color w:val="1A1A1A"/>
          <w:sz w:val="21"/>
          <w:szCs w:val="21"/>
        </w:rPr>
        <w:t>ADEX 547 Participants</w:t>
      </w:r>
    </w:p>
    <w:p w14:paraId="64040412" w14:textId="77777777" w:rsidR="00EE19F8" w:rsidRDefault="00000000">
      <w:pPr>
        <w:spacing w:after="60"/>
      </w:pPr>
      <w:r>
        <w:rPr>
          <w:rFonts w:ascii="Calibri" w:eastAsia="Calibri" w:hAnsi="Calibri" w:cs="Calibri"/>
          <w:b/>
          <w:bCs/>
          <w:color w:val="13294B"/>
          <w:sz w:val="21"/>
          <w:szCs w:val="21"/>
        </w:rPr>
        <w:t xml:space="preserve">From:   </w:t>
      </w:r>
      <w:r>
        <w:rPr>
          <w:rFonts w:ascii="Calibri" w:eastAsia="Calibri" w:hAnsi="Calibri" w:cs="Calibri"/>
          <w:color w:val="1A1A1A"/>
          <w:sz w:val="21"/>
          <w:szCs w:val="21"/>
        </w:rPr>
        <w:t>Hakan Göral, Instructor</w:t>
      </w:r>
    </w:p>
    <w:p w14:paraId="091D1F1A" w14:textId="77777777" w:rsidR="00EE19F8" w:rsidRDefault="00000000">
      <w:pPr>
        <w:spacing w:after="60"/>
      </w:pPr>
      <w:r>
        <w:rPr>
          <w:rFonts w:ascii="Calibri" w:eastAsia="Calibri" w:hAnsi="Calibri" w:cs="Calibri"/>
          <w:b/>
          <w:bCs/>
          <w:color w:val="13294B"/>
          <w:sz w:val="21"/>
          <w:szCs w:val="21"/>
        </w:rPr>
        <w:t xml:space="preserve">Date:    </w:t>
      </w:r>
      <w:r>
        <w:rPr>
          <w:rFonts w:ascii="Calibri" w:eastAsia="Calibri" w:hAnsi="Calibri" w:cs="Calibri"/>
          <w:color w:val="1A1A1A"/>
          <w:sz w:val="21"/>
          <w:szCs w:val="21"/>
        </w:rPr>
        <w:t>15 July 2026</w:t>
      </w:r>
    </w:p>
    <w:p w14:paraId="3D3EE5E3" w14:textId="77777777" w:rsidR="00EE19F8" w:rsidRDefault="00000000">
      <w:pPr>
        <w:spacing w:after="60"/>
      </w:pPr>
      <w:r>
        <w:rPr>
          <w:rFonts w:ascii="Calibri" w:eastAsia="Calibri" w:hAnsi="Calibri" w:cs="Calibri"/>
          <w:b/>
          <w:bCs/>
          <w:color w:val="13294B"/>
          <w:sz w:val="21"/>
          <w:szCs w:val="21"/>
        </w:rPr>
        <w:t xml:space="preserve">Re:       </w:t>
      </w:r>
      <w:r>
        <w:rPr>
          <w:rFonts w:ascii="Calibri" w:eastAsia="Calibri" w:hAnsi="Calibri" w:cs="Calibri"/>
          <w:color w:val="1A1A1A"/>
          <w:sz w:val="21"/>
          <w:szCs w:val="21"/>
        </w:rPr>
        <w:t>Case Study Company Assignments, Team Composition, and Expectations for Team-Based Work</w:t>
      </w:r>
    </w:p>
    <w:p w14:paraId="31060D35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1. Purpose of This Memo</w:t>
      </w:r>
    </w:p>
    <w:p w14:paraId="503578A1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This memo confirms the three case study companies, your team assignment, and — most importantly — what is expected of you and your team before, during, and after each session. Please read it in full before Session 1.</w:t>
      </w:r>
    </w:p>
    <w:p w14:paraId="2E61922E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2. Case Study Companies</w:t>
      </w:r>
    </w:p>
    <w:p w14:paraId="7031B272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Each team will conduct its case work on a company connected to one or more team members' professional experience. This gives every team a starting point of real, first-hand familiarity with how capital allocation, governance, and disclosure actually work inside the organisation — alongside what is publicly disclosed in filings and reporting.</w:t>
      </w:r>
    </w:p>
    <w:p w14:paraId="3D97A10C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The three companies were also chosen to give the cohort a deliberate contrast in ownership and governance structure:</w:t>
      </w:r>
    </w:p>
    <w:p w14:paraId="7D0A16E8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Koç Holding — a family-controlled, widely diversified conglomerate (automotive, energy, durables, finance).</w:t>
      </w:r>
    </w:p>
    <w:p w14:paraId="071DC26A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Sabancı Holding — a family-controlled group anchored around a major bank, with significant joint-venture structures.</w:t>
      </w:r>
    </w:p>
    <w:p w14:paraId="1BB80100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Türk Hava Yolları (THY) — a publicly listed company with partial state/Wealth Fund ownership, operating under a different governance and disclosure regime than the two family holdings.</w:t>
      </w:r>
    </w:p>
    <w:p w14:paraId="7D0B2215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This contrast is intentional: applying the same analytical frameworks — capital allocation, the parenting-advantage test, disclosure obligations, governance mechanisms — to three structurally different companies is what will let the cohort compare notes meaningfully in Session 6.</w:t>
      </w:r>
    </w:p>
    <w:p w14:paraId="2F276B9A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3. Team Assignments</w:t>
      </w:r>
    </w:p>
    <w:p w14:paraId="1657C30C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Teams were built for a balance of seniority and functional background (finance, operations, marketing, entrepreneurship), so that no single perspective dominates a team's analysis.</w:t>
      </w:r>
    </w:p>
    <w:p w14:paraId="3FE25D81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Team 1 — Koç Holding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900"/>
        <w:gridCol w:w="2900"/>
        <w:gridCol w:w="1600"/>
      </w:tblGrid>
      <w:tr w:rsidR="00EE19F8" w14:paraId="40ACC3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29F5E7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CB892A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Company / Role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59FFD4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16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B82D3F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Phone</w:t>
            </w:r>
          </w:p>
        </w:tc>
      </w:tr>
      <w:tr w:rsidR="00EE19F8" w14:paraId="1970D38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E030F7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Gökberk Pala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C354FD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Arçelik-LG — Foreign Trade &amp; Logistics Specialist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A03EE9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gokberk.pala@ozu.edu.tr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9A31AF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0536 526 0211</w:t>
            </w:r>
          </w:p>
        </w:tc>
      </w:tr>
      <w:tr w:rsidR="00EE19F8" w14:paraId="1D009B3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6FAA6D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Nedim Büke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E9DCE9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Enoca — Founder (23 yrs)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CC8ACC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nedim.buke@enoca.com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F577C6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0544 770 2253</w:t>
            </w:r>
          </w:p>
        </w:tc>
      </w:tr>
      <w:tr w:rsidR="00EE19F8" w14:paraId="1F64274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4FF808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Tuğçe Çıngay Ataş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EB1D55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TSKB — Engineer-Manager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D0F1DD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tugcecingay@gmail.com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DB76AA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0536 315 6103</w:t>
            </w:r>
          </w:p>
        </w:tc>
      </w:tr>
      <w:tr w:rsidR="00EE19F8" w14:paraId="0968390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42DE19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Bahar Hanedan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4F5E18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Industrial Engineer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D97F9A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baharhanedann@gmail.com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0142B0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0533 086 9504</w:t>
            </w:r>
          </w:p>
        </w:tc>
      </w:tr>
      <w:tr w:rsidR="00EE19F8" w14:paraId="0B58BD9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6061E9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lastRenderedPageBreak/>
              <w:t>Gülin Coşar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991377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MT Tanıtım — Brand Manager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8CA4C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cosargulin@gmail.com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9968DE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0538 817 8639</w:t>
            </w:r>
          </w:p>
        </w:tc>
      </w:tr>
    </w:tbl>
    <w:p w14:paraId="666DA1B1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Team 2 — Sabancı Holding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900"/>
        <w:gridCol w:w="2900"/>
        <w:gridCol w:w="1600"/>
      </w:tblGrid>
      <w:tr w:rsidR="00EE19F8" w14:paraId="5B76461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E0F5B8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3F5555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Company / Role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B96E47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16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C86FD0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Phone</w:t>
            </w:r>
          </w:p>
        </w:tc>
      </w:tr>
      <w:tr w:rsidR="00EE19F8" w14:paraId="2E61AB3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6CD8A5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Cenk Tanyer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C0136C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Brisa — OE Technical &amp; Sales Manager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B5FC24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cenktanyer@gmail.com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96A5C2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0530 231 1867</w:t>
            </w:r>
          </w:p>
        </w:tc>
      </w:tr>
      <w:tr w:rsidR="00EE19F8" w14:paraId="68B3C8A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F1349D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Şehnaz Atak Askeroğlu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7C7120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Askeroglu Health Group — Owner (19 yrs)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0C7AB8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sehnazatak@gmail.com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CCB120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0549 779 8945</w:t>
            </w:r>
          </w:p>
        </w:tc>
      </w:tr>
      <w:tr w:rsidR="00EE19F8" w14:paraId="26FEFB6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25991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Özlem Önal Baran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6DF85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AbbVie — Marketing Director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DC1EC8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ozlem.onalbaran@abbvie.com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95B2F3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0532 055 1020</w:t>
            </w:r>
          </w:p>
        </w:tc>
      </w:tr>
      <w:tr w:rsidR="00EE19F8" w14:paraId="3354B13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FE8FAF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Mısra Memişoğlu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DADF14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Possible Gayrimenkul — Advisor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ACC614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misramemisoglu@gmail.com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7AF8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0532 403 0562</w:t>
            </w:r>
          </w:p>
        </w:tc>
      </w:tr>
      <w:tr w:rsidR="00EE19F8" w14:paraId="4589F93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1F8483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Ali Nemutlu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2B874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Teknolist A.Ş. — Project Manager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F0B782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alinemutlu@gmail.com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BCC978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0532 266 8348</w:t>
            </w:r>
          </w:p>
        </w:tc>
      </w:tr>
    </w:tbl>
    <w:p w14:paraId="592B10D8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Team 3 — Türk Hava Yolları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900"/>
        <w:gridCol w:w="2900"/>
        <w:gridCol w:w="1600"/>
      </w:tblGrid>
      <w:tr w:rsidR="00EE19F8" w14:paraId="01C4CC6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320216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Name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6FB1A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Company / Role</w:t>
            </w:r>
          </w:p>
        </w:tc>
        <w:tc>
          <w:tcPr>
            <w:tcW w:w="29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5C10F9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1600" w:type="dxa"/>
            <w:shd w:val="clear" w:color="auto" w:fill="0B1E3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041C76" w14:textId="77777777" w:rsidR="00EE19F8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Phone</w:t>
            </w:r>
          </w:p>
        </w:tc>
      </w:tr>
      <w:tr w:rsidR="00EE19F8" w14:paraId="59E09F4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E1AC8E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Nuran Erdağ Haberdar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A5C570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THY — Vice President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944237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nuranerdag@gmail.com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BCFA7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0538 636 0360</w:t>
            </w:r>
          </w:p>
        </w:tc>
      </w:tr>
      <w:tr w:rsidR="00EE19F8" w14:paraId="5E94359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4C86DF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Serkan Yeter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DEE571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THY Technic — Procurement Specialist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14DE05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serkanyeter4@gmail.com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96219D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0542 582 9909</w:t>
            </w:r>
          </w:p>
        </w:tc>
      </w:tr>
      <w:tr w:rsidR="00EE19F8" w14:paraId="57452B9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D7B19F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Mehmet Alptuğ Alkan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C61892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Hermes — Store &amp; Regional Manager</w:t>
            </w:r>
          </w:p>
        </w:tc>
        <w:tc>
          <w:tcPr>
            <w:tcW w:w="29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A983F7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alptugalkan@gmail.com</w:t>
            </w:r>
          </w:p>
        </w:tc>
        <w:tc>
          <w:tcPr>
            <w:tcW w:w="16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3855EC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0531 610 8514</w:t>
            </w:r>
          </w:p>
        </w:tc>
      </w:tr>
      <w:tr w:rsidR="00EE19F8" w14:paraId="42C5CB2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A6B03A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Yurdagül Işık Sevinç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C36F84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TPAO — Chief of Staff</w:t>
            </w:r>
          </w:p>
        </w:tc>
        <w:tc>
          <w:tcPr>
            <w:tcW w:w="29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9A21F9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yurdagul.isik@std.bogazici.edu.tr</w:t>
            </w:r>
          </w:p>
        </w:tc>
        <w:tc>
          <w:tcPr>
            <w:tcW w:w="1600" w:type="dxa"/>
            <w:shd w:val="clear" w:color="auto" w:fill="F5F1E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163395" w14:textId="77777777" w:rsidR="00EE19F8" w:rsidRDefault="00000000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0532 782 8342</w:t>
            </w:r>
          </w:p>
        </w:tc>
      </w:tr>
    </w:tbl>
    <w:p w14:paraId="390F397C" w14:textId="77777777" w:rsidR="00EE19F8" w:rsidRDefault="00000000">
      <w:r>
        <w:br w:type="page"/>
      </w:r>
    </w:p>
    <w:p w14:paraId="181D2B3B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lastRenderedPageBreak/>
        <w:t>4. How Teams Are Expected to Work</w:t>
      </w:r>
    </w:p>
    <w:p w14:paraId="32104077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Before Each Session</w:t>
      </w:r>
    </w:p>
    <w:p w14:paraId="3485DA64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Complete the assigned pre-reading individually — this is a crash course, and class time assumes you have already done this.</w:t>
      </w:r>
    </w:p>
    <w:p w14:paraId="0E17FAE9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Meet as a team in advance to divide the analytical work — e.g., who leads on capital allocation, who leads on governance, who leads on disclosure — so the team arrives with a coordinated view, not five separate opinions.</w:t>
      </w:r>
    </w:p>
    <w:p w14:paraId="4901622F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Identify open questions that need to be verified against public filings, annual reports, or KAP/SPK disclosures before the next session.</w:t>
      </w:r>
    </w:p>
    <w:p w14:paraId="55207EFD" w14:textId="77777777" w:rsidR="00EE19F8" w:rsidRDefault="00000000">
      <w:pPr>
        <w:spacing w:after="140"/>
      </w:pPr>
      <w:r>
        <w:rPr>
          <w:rFonts w:ascii="Calibri" w:eastAsia="Calibri" w:hAnsi="Calibri" w:cs="Calibri"/>
          <w:b/>
          <w:bCs/>
          <w:color w:val="1A1A1A"/>
          <w:sz w:val="21"/>
          <w:szCs w:val="21"/>
        </w:rPr>
        <w:t>You will benefit from starting early: begin going through the materials provided for your assigned company, and start looking into what is publicly available online about it (annual reports, investor presentations, KAP/SPK filings, credible press coverage), well before Session 1 rather than waiting for a specific deadline.</w:t>
      </w:r>
    </w:p>
    <w:p w14:paraId="5AB4888D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During Each Session</w:t>
      </w:r>
    </w:p>
    <w:p w14:paraId="5AE75E7D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Participate actively. This course is built around case discussion, simulation, and live executive engagement — it does not work as a passive lecture, and passive attendance will cost you far more here than in a conventional course.</w:t>
      </w:r>
    </w:p>
    <w:p w14:paraId="7920D65F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In Sessions 2 and 4, expect to be questioned directly by the guest executive as a board would question you — come ready to defend your team's position, not just present it.</w:t>
      </w:r>
    </w:p>
    <w:p w14:paraId="7BCCE91A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Treat disagreement — with the guest executive, the CEO panel, or your own teammates — as a normal and valuable part of the analysis, not something to avoid.</w:t>
      </w:r>
    </w:p>
    <w:p w14:paraId="7F178E8A" w14:textId="77777777" w:rsidR="00EE19F8" w:rsidRDefault="00000000">
      <w:pPr>
        <w:pStyle w:val="Heading2"/>
        <w:spacing w:before="320" w:after="160"/>
      </w:pPr>
      <w:r>
        <w:rPr>
          <w:rFonts w:ascii="Georgia" w:eastAsia="Georgia" w:hAnsi="Georgia" w:cs="Georgia"/>
          <w:b/>
          <w:bCs/>
          <w:color w:val="13294B"/>
          <w:sz w:val="24"/>
          <w:szCs w:val="24"/>
        </w:rPr>
        <w:t>After Each Session</w:t>
      </w:r>
    </w:p>
    <w:p w14:paraId="45C44D54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Debrief as a team — what feedback did you receive, what changed in your thinking, what still needs work.</w:t>
      </w:r>
    </w:p>
    <w:p w14:paraId="16D75979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Update your team's working analysis so that each session builds on the last, rather than starting over.</w:t>
      </w:r>
    </w:p>
    <w:p w14:paraId="5E903525" w14:textId="77777777" w:rsidR="00EE19F8" w:rsidRDefault="00000000">
      <w:pPr>
        <w:pStyle w:val="ListParagraph"/>
        <w:numPr>
          <w:ilvl w:val="0"/>
          <w:numId w:val="1"/>
        </w:numPr>
        <w:spacing w:after="90"/>
      </w:pPr>
      <w:r>
        <w:rPr>
          <w:rFonts w:ascii="Calibri" w:eastAsia="Calibri" w:hAnsi="Calibri" w:cs="Calibri"/>
          <w:color w:val="1A1A1A"/>
          <w:sz w:val="21"/>
          <w:szCs w:val="21"/>
        </w:rPr>
        <w:t>Log any commitments or follow-up questions raised during the session so they are addressed before Session 6.</w:t>
      </w:r>
    </w:p>
    <w:p w14:paraId="5D53C380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5. The Target</w:t>
      </w:r>
    </w:p>
    <w:p w14:paraId="717FF763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Each team's case work builds, session by session, toward a single target: a board-level portfolio and investment strategy presentation for your assigned company, delivered in Session 6 and evaluated by a panel of invited CEOs acting as an external board.</w:t>
      </w:r>
    </w:p>
    <w:p w14:paraId="554294C3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Along the way, your team's group deliverables (the Portfolio Diagnostic and the Activist Simulation) are checkpoints that test whether your analysis can withstand real scrutiny — not separate assignments to be completed and forgotten. Each one should sharpen the argument your team will ultimately defend in front of the CEO panel.</w:t>
      </w:r>
    </w:p>
    <w:p w14:paraId="7651EA28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6. Supporting Your Analysis</w:t>
      </w:r>
    </w:p>
    <w:p w14:paraId="3F910142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Every claim you make — in written deliverables, in team discussion, and in presentations — is expected to be supported. “Supported” means traceable to something: a figure from an annual report, a specific KAP/SPK disclosure, a named academic framework, a credible news source, or a first-hand professional observation clearly identified as such. Assertions that cannot be traced to a source will be treated as unsupported, however confidently they are stated.</w:t>
      </w:r>
    </w:p>
    <w:p w14:paraId="38EA1D37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lastRenderedPageBreak/>
        <w:t>This applies equally to the executive dialogues and the CEO panel: when you are challenged on a number or a claim, you should be able to say where it came from.</w:t>
      </w:r>
    </w:p>
    <w:p w14:paraId="086F9177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7. Separating Hypothesis from Fact</w:t>
      </w:r>
    </w:p>
    <w:p w14:paraId="3B2C2479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Corporate strategy work constantly requires you to reason beyond what is directly observable — estimating a synergy, inferring a motive behind a divestiture, projecting how a board might weigh a trade-off. This is legitimate and often necessary. What is not acceptable is presenting a hypothesis as if it were a verified fact.</w:t>
      </w:r>
    </w:p>
    <w:p w14:paraId="2780102C" w14:textId="77777777" w:rsidR="00EE19F8" w:rsidRDefault="00000000">
      <w:pPr>
        <w:spacing w:after="140"/>
      </w:pPr>
      <w:r>
        <w:rPr>
          <w:rFonts w:ascii="Calibri" w:eastAsia="Calibri" w:hAnsi="Calibri" w:cs="Calibri"/>
          <w:color w:val="1A1A1A"/>
          <w:sz w:val="21"/>
          <w:szCs w:val="21"/>
        </w:rPr>
        <w:t>In your written work and in discussion, label clearly which of your statements are: (a) verified fact, drawn directly from a disclosed source; (b) reasoned hypothesis, your team's best interpretation given the evidence; or (c) open question, something you have not yet been able to verify. A recommendation built on a clearly-labelled hypothesis is far stronger — and far more defensible under questioning — than one that blurs the two together.</w:t>
      </w:r>
    </w:p>
    <w:p w14:paraId="76F93622" w14:textId="77777777" w:rsidR="00EE19F8" w:rsidRDefault="00000000">
      <w:pPr>
        <w:pStyle w:val="Heading1"/>
        <w:pBdr>
          <w:bottom w:val="single" w:sz="6" w:space="4" w:color="B08D3D"/>
        </w:pBdr>
        <w:spacing w:before="320" w:after="160"/>
      </w:pPr>
      <w:r>
        <w:rPr>
          <w:rFonts w:ascii="Georgia" w:eastAsia="Georgia" w:hAnsi="Georgia" w:cs="Georgia"/>
          <w:b/>
          <w:bCs/>
          <w:color w:val="0B1E39"/>
          <w:sz w:val="30"/>
          <w:szCs w:val="30"/>
        </w:rPr>
        <w:t>8. Expectations for Working in Teams</w:t>
      </w:r>
    </w:p>
    <w:p w14:paraId="519EA180" w14:textId="77777777" w:rsidR="00EE19F8" w:rsidRDefault="00000000">
      <w:pPr>
        <w:pStyle w:val="ListParagraph"/>
        <w:numPr>
          <w:ilvl w:val="0"/>
          <w:numId w:val="2"/>
        </w:numPr>
        <w:spacing w:after="110"/>
      </w:pPr>
      <w:r>
        <w:rPr>
          <w:rFonts w:ascii="Calibri" w:eastAsia="Calibri" w:hAnsi="Calibri" w:cs="Calibri"/>
          <w:color w:val="1A1A1A"/>
          <w:sz w:val="21"/>
          <w:szCs w:val="21"/>
        </w:rPr>
        <w:t>Agree early on how you will divide work, make decisions, and resolve disagreements — waiting until a deadline is close is the most common cause of team friction.</w:t>
      </w:r>
    </w:p>
    <w:p w14:paraId="4DA67BBF" w14:textId="77777777" w:rsidR="00EE19F8" w:rsidRDefault="00000000">
      <w:pPr>
        <w:pStyle w:val="ListParagraph"/>
        <w:numPr>
          <w:ilvl w:val="0"/>
          <w:numId w:val="2"/>
        </w:numPr>
        <w:spacing w:after="110"/>
      </w:pPr>
      <w:r>
        <w:rPr>
          <w:rFonts w:ascii="Calibri" w:eastAsia="Calibri" w:hAnsi="Calibri" w:cs="Calibri"/>
          <w:color w:val="1A1A1A"/>
          <w:sz w:val="21"/>
          <w:szCs w:val="21"/>
        </w:rPr>
        <w:t>Raise team issues early. If a team is struggling with participation, direction, or workload balance, raise it with me as soon as it becomes apparent — not after it has already affected a deliverable.</w:t>
      </w:r>
    </w:p>
    <w:p w14:paraId="06E63CD6" w14:textId="77777777" w:rsidR="00EE19F8" w:rsidRDefault="00000000">
      <w:pPr>
        <w:pStyle w:val="ListParagraph"/>
        <w:numPr>
          <w:ilvl w:val="0"/>
          <w:numId w:val="2"/>
        </w:numPr>
        <w:spacing w:after="110"/>
      </w:pPr>
      <w:r>
        <w:rPr>
          <w:rFonts w:ascii="Calibri" w:eastAsia="Calibri" w:hAnsi="Calibri" w:cs="Calibri"/>
          <w:color w:val="1A1A1A"/>
          <w:sz w:val="21"/>
          <w:szCs w:val="21"/>
        </w:rPr>
        <w:t>Questions are welcome at any time, through any medium — in session, by email, or otherwise.</w:t>
      </w:r>
    </w:p>
    <w:p w14:paraId="49B8872D" w14:textId="77777777" w:rsidR="00EE19F8" w:rsidRDefault="00000000">
      <w:pPr>
        <w:spacing w:after="140"/>
      </w:pPr>
      <w:r>
        <w:rPr>
          <w:rFonts w:ascii="Calibri" w:eastAsia="Calibri" w:hAnsi="Calibri" w:cs="Calibri"/>
          <w:i/>
          <w:iCs/>
          <w:color w:val="5A5A5A"/>
          <w:sz w:val="21"/>
          <w:szCs w:val="21"/>
        </w:rPr>
        <w:t>I am looking forward to working with all three teams this term.</w:t>
      </w:r>
    </w:p>
    <w:sectPr w:rsidR="00EE19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4C35" w14:textId="77777777" w:rsidR="00AE5E21" w:rsidRDefault="00AE5E21">
      <w:r>
        <w:separator/>
      </w:r>
    </w:p>
  </w:endnote>
  <w:endnote w:type="continuationSeparator" w:id="0">
    <w:p w14:paraId="7684DC93" w14:textId="77777777" w:rsidR="00AE5E21" w:rsidRDefault="00A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813E" w14:textId="098ADF71" w:rsidR="00573AB6" w:rsidRDefault="00573A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AAABF9" wp14:editId="1E565E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15620" cy="314325"/>
              <wp:effectExtent l="0" t="0" r="17780" b="0"/>
              <wp:wrapNone/>
              <wp:docPr id="1245637306" name="Text Box 2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BE0AC" w14:textId="09A71CCD" w:rsidR="00573AB6" w:rsidRPr="00573AB6" w:rsidRDefault="00573AB6" w:rsidP="00573A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3A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AAB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l" style="position:absolute;margin-left:0;margin-top:0;width:40.6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BiDgIAABoEAAAOAAAAZHJzL2Uyb0RvYy54bWysU8Fu2zAMvQ/YPwi6L7bTpliNOEXWIsOA&#10;oC2QFj0rshQbkERBUmJnXz9KdpKt3WnYRaZI+pF8fJrf9VqRg3C+BVPRYpJTIgyHujW7ir6+rL58&#10;pcQHZmqmwIiKHoWnd4vPn+adLcUUGlC1cARBjC87W9EmBFtmmeeN0MxPwAqDQQlOs4BXt8tqxzpE&#10;1yqb5vlN1oGrrQMuvEfvwxCki4QvpeDhSUovAlEVxd5COl06t/HMFnNW7hyzTcvHNtg/dKFZa7Do&#10;GeqBBUb2rv0ApVvuwIMMEw46AylbLtIMOE2Rv5tm0zAr0ixIjrdnmvz/g+WPh419diT036DHBUZC&#10;OutLj844Ty+djl/slGAcKTyeaRN9IByds2J2M8UIx9BVcX01nUWU7PKzdT58F6BJNCrqcCuJLHZY&#10;+zCknlJiLQOrVqm0GWX+cCBm9GSXDqMV+m0/tr2F+ojTOBgW7S1ftVhzzXx4Zg43i22iWsMTHlJB&#10;V1EYLUoacD//5o/5SDhGKelQKRU1KGVK1A+Di5jOrvM8Kivd0HAnY5uM4jafxbjZ63tAERb4HixP&#10;ZkwO6mRKB/oNxbyM1TDEDMeaFd2ezPsw6BYfAxfLZUpCEVkW1mZjeYSOZEUmX/o35uxId8A9PcJJ&#10;S6x8x/qQG//0drkPyH1aSSR2YHPkGwWYljo+lqjw3+8p6/KkF78AAAD//wMAUEsDBBQABgAIAAAA&#10;IQBYejW52gAAAAMBAAAPAAAAZHJzL2Rvd25yZXYueG1sTI/NTsMwEITvSH0Ha5G4UacRRCXEqary&#10;o14JSHB04m0cNV6HeNuGt8f0Ui4rjWY0822xmlwvjjiGzpOCxTwBgdR401Gr4OP95XYJIrAmo3tP&#10;qOAHA6zK2VWhc+NP9IbHilsRSyjkWoFlHnIpQ2PR6TD3A1L0dn50mqMcW2lGfYrlrpdpkmTS6Y7i&#10;gtUDbiw2++rgFGRPr2s7fGZf37s0bEPt91z5Z6Vurqf1IwjGiS9h+MOP6FBGptofyATRK4iP8PlG&#10;b7lIQdQK7h7uQZaF/M9e/gIAAP//AwBQSwECLQAUAAYACAAAACEAtoM4kv4AAADhAQAAEwAAAAAA&#10;AAAAAAAAAAAAAAAAW0NvbnRlbnRfVHlwZXNdLnhtbFBLAQItABQABgAIAAAAIQA4/SH/1gAAAJQB&#10;AAALAAAAAAAAAAAAAAAAAC8BAABfcmVscy8ucmVsc1BLAQItABQABgAIAAAAIQAwSwBiDgIAABoE&#10;AAAOAAAAAAAAAAAAAAAAAC4CAABkcnMvZTJvRG9jLnhtbFBLAQItABQABgAIAAAAIQBYejW52gAA&#10;AAM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3BBE0AC" w14:textId="09A71CCD" w:rsidR="00573AB6" w:rsidRPr="00573AB6" w:rsidRDefault="00573AB6" w:rsidP="00573A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73A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A5AE" w14:textId="1E8CEEF1" w:rsidR="00EE19F8" w:rsidRDefault="00573AB6">
    <w:pPr>
      <w:jc w:val="center"/>
    </w:pPr>
    <w:r>
      <w:rPr>
        <w:rFonts w:ascii="Calibri" w:eastAsia="Calibri" w:hAnsi="Calibri" w:cs="Calibri"/>
        <w:noProof/>
        <w:color w:val="5A5A5A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75EB5" wp14:editId="75069E62">
              <wp:simplePos x="695325" y="10115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515620" cy="314325"/>
              <wp:effectExtent l="0" t="0" r="17780" b="0"/>
              <wp:wrapNone/>
              <wp:docPr id="1184185484" name="Text Box 3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716D0" w14:textId="7D72F503" w:rsidR="00573AB6" w:rsidRPr="00573AB6" w:rsidRDefault="00573AB6" w:rsidP="00573A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3A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75E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l" style="position:absolute;left:0;text-align:left;margin-left:0;margin-top:0;width:40.6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lBEAIAACEEAAAOAAAAZHJzL2Uyb0RvYy54bWysU8tu2zAQvBfoPxC815KcOGgFy4GbwEUB&#10;IwngFDlTFGkJILkESVtyv75Lyo80zSnohVrurvYxM5zfDlqRvXC+A1PRYpJTIgyHpjPbiv56Xn35&#10;SokPzDRMgREVPQhPbxefP817W4optKAa4QgWMb7sbUXbEGyZZZ63QjM/ASsMBiU4zQJe3TZrHOux&#10;ulbZNM9vsh5cYx1w4T1678cgXaT6UgoeHqX0IhBVUZwtpNOls45ntpizcuuYbTt+HIN9YArNOoNN&#10;z6XuWWBk57p/SumOO/Agw4SDzkDKjou0A25T5G+22bTMirQLguPtGSb//8ryh/3GPjkShu8wIIER&#10;kN760qMz7jNIp+MXJyUYRwgPZ9jEEAhH56yY3UwxwjF0VVxfTWexSnb52ToffgjQJBoVdchKAovt&#10;1z6MqaeU2MvAqlMqMaPMXw6sGT3ZZcJohaEeSNe8mr6G5oBLORj59pavOmy9Zj48MYcE47Qo2vCI&#10;h1TQVxSOFiUtuN/v+WM+4o5RSnoUTEUNKpoS9dMgH9PZdZ5HgaUbGu5k1MkovuWzGDc7fQeoxQKf&#10;heXJjMlBnUzpQL+gppexG4aY4dizovXJvAujfPFNcLFcpiTUkmVhbTaWx9IRswjo8/DCnD2iHpCu&#10;BzhJipVvwB9z45/eLncBKUjMRHxHNI+wow4Tt8c3E4X++p6yLi978QcAAP//AwBQSwMEFAAGAAgA&#10;AAAhAFh6NbnaAAAAAwEAAA8AAABkcnMvZG93bnJldi54bWxMj81OwzAQhO9IfQdrkbhRpxFEJcSp&#10;qvKjXglIcHTibRw1Xod424a3x/RSLiuNZjTzbbGaXC+OOIbOk4LFPAGB1HjTUavg4/3ldgkisCaj&#10;e0+o4AcDrMrZVaFz40/0hseKWxFLKORagWUecilDY9HpMPcDUvR2fnSaoxxbaUZ9iuWul2mSZNLp&#10;juKC1QNuLDb76uAUZE+vazt8Zl/fuzRsQ+33XPlnpW6up/UjCMaJL2H4w4/oUEam2h/IBNEriI/w&#10;+UZvuUhB1AruHu5BloX8z17+AgAA//8DAFBLAQItABQABgAIAAAAIQC2gziS/gAAAOEBAAATAAAA&#10;AAAAAAAAAAAAAAAAAABbQ29udGVudF9UeXBlc10ueG1sUEsBAi0AFAAGAAgAAAAhADj9If/WAAAA&#10;lAEAAAsAAAAAAAAAAAAAAAAALwEAAF9yZWxzLy5yZWxzUEsBAi0AFAAGAAgAAAAhAMOBOUEQAgAA&#10;IQQAAA4AAAAAAAAAAAAAAAAALgIAAGRycy9lMm9Eb2MueG1sUEsBAi0AFAAGAAgAAAAhAFh6Nbna&#10;AAAAAw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53716D0" w14:textId="7D72F503" w:rsidR="00573AB6" w:rsidRPr="00573AB6" w:rsidRDefault="00573AB6" w:rsidP="00573A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73A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rFonts w:ascii="Calibri" w:eastAsia="Calibri" w:hAnsi="Calibri" w:cs="Calibri"/>
        <w:color w:val="5A5A5A"/>
        <w:sz w:val="16"/>
        <w:szCs w:val="16"/>
      </w:rPr>
      <w:t xml:space="preserve">Page </w: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5A5A5A"/>
        <w:sz w:val="16"/>
        <w:szCs w:val="16"/>
      </w:rPr>
      <w:instrText>PAGE</w:instrTex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5A5A5A"/>
        <w:sz w:val="16"/>
        <w:szCs w:val="16"/>
      </w:rPr>
      <w:t>1</w: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end"/>
    </w:r>
    <w:r w:rsidR="00000000">
      <w:rPr>
        <w:rFonts w:ascii="Calibri" w:eastAsia="Calibri" w:hAnsi="Calibri" w:cs="Calibri"/>
        <w:color w:val="5A5A5A"/>
        <w:sz w:val="16"/>
        <w:szCs w:val="16"/>
      </w:rPr>
      <w:t xml:space="preserve"> of </w: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begin"/>
    </w:r>
    <w:r w:rsidR="00000000">
      <w:rPr>
        <w:rFonts w:ascii="Calibri" w:eastAsia="Calibri" w:hAnsi="Calibri" w:cs="Calibri"/>
        <w:color w:val="5A5A5A"/>
        <w:sz w:val="16"/>
        <w:szCs w:val="16"/>
      </w:rPr>
      <w:instrText>NUMPAGES</w:instrTex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separate"/>
    </w:r>
    <w:r>
      <w:rPr>
        <w:rFonts w:ascii="Calibri" w:eastAsia="Calibri" w:hAnsi="Calibri" w:cs="Calibri"/>
        <w:noProof/>
        <w:color w:val="5A5A5A"/>
        <w:sz w:val="16"/>
        <w:szCs w:val="16"/>
      </w:rPr>
      <w:t>2</w:t>
    </w:r>
    <w:r w:rsidR="00000000">
      <w:rPr>
        <w:rFonts w:ascii="Calibri" w:eastAsia="Calibri" w:hAnsi="Calibri" w:cs="Calibri"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694C" w14:textId="2B9C4903" w:rsidR="00573AB6" w:rsidRDefault="00573A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9C126" wp14:editId="4DA1F2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15620" cy="314325"/>
              <wp:effectExtent l="0" t="0" r="17780" b="0"/>
              <wp:wrapNone/>
              <wp:docPr id="1197304692" name="Text Box 1" descr="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417E8" w14:textId="6B75E137" w:rsidR="00573AB6" w:rsidRPr="00573AB6" w:rsidRDefault="00573AB6" w:rsidP="00573AB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3A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9C1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l" style="position:absolute;margin-left:0;margin-top:0;width:40.6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oDEgIAACEEAAAOAAAAZHJzL2Uyb0RvYy54bWysU8tu2zAQvBfoPxC813okDhrBcuAmcFHA&#10;SAI4Rc40RVoCSC5B0pbcr++SsuI27anohVrurvYxM1zcDVqRo3C+A1PTYpZTIgyHpjP7mn5/WX/6&#10;TIkPzDRMgRE1PQlP75YfPyx6W4kSWlCNcASLGF/1tqZtCLbKMs9boZmfgRUGgxKcZgGvbp81jvVY&#10;XauszPObrAfXWAdceI/ehzFIl6m+lIKHJym9CETVFGcL6XTp3MUzWy5YtXfMth0/j8H+YQrNOoNN&#10;30o9sMDIwXV/lNIdd+BBhhkHnYGUHRdpB9ymyN9ts22ZFWkXBMfbN5j8/yvLH49b++xIGL7AgARG&#10;QHrrK4/OuM8gnY5fnJRgHCE8vcEmhkA4OufF/KbECMfQVXF9Vc5jlezys3U+fBWgSTRq6pCVBBY7&#10;bnwYU6eU2MvAulMqMaPMbw6sGT3ZZcJohWE3kK6paTlNv4PmhEs5GPn2lq87bL1hPjwzhwTjtCja&#10;8ISHVNDXFM4WJS24H3/zx3zEHaOU9CiYmhpUNCXqm0E+yvl1nkeBpRsabjJ2yShu83mMm4O+B9Ri&#10;gc/C8mTG5KAmUzrQr6jpVeyGIWY49qzpbjLvwyhffBNcrFYpCbVkWdiYreWxdMQsAvoyvDJnz6gH&#10;pOsRJkmx6h34Y27809vVISAFiZmI74jmGXbUYeL2/Gai0H+9p6zLy17+BAAA//8DAFBLAwQUAAYA&#10;CAAAACEAWHo1udoAAAADAQAADwAAAGRycy9kb3ducmV2LnhtbEyPzU7DMBCE70h9B2uRuFGnEUQl&#10;xKmq8qNeCUhwdOJtHDVeh3jbhrfH9FIuK41mNPNtsZpcL444hs6TgsU8AYHUeNNRq+Dj/eV2CSKw&#10;JqN7T6jgBwOsytlVoXPjT/SGx4pbEUso5FqBZR5yKUNj0ekw9wNS9HZ+dJqjHFtpRn2K5a6XaZJk&#10;0umO4oLVA24sNvvq4BRkT69rO3xmX9+7NGxD7fdc+Welbq6n9SMIxokvYfjDj+hQRqbaH8gE0SuI&#10;j/D5Rm+5SEHUCu4e7kGWhfzPXv4CAAD//wMAUEsBAi0AFAAGAAgAAAAhALaDOJL+AAAA4QEAABMA&#10;AAAAAAAAAAAAAAAAAAAAAFtDb250ZW50X1R5cGVzXS54bWxQSwECLQAUAAYACAAAACEAOP0h/9YA&#10;AACUAQAACwAAAAAAAAAAAAAAAAAvAQAAX3JlbHMvLnJlbHNQSwECLQAUAAYACAAAACEAkhfKAxIC&#10;AAAhBAAADgAAAAAAAAAAAAAAAAAuAgAAZHJzL2Uyb0RvYy54bWxQSwECLQAUAAYACAAAACEAWHo1&#10;ud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AE417E8" w14:textId="6B75E137" w:rsidR="00573AB6" w:rsidRPr="00573AB6" w:rsidRDefault="00573AB6" w:rsidP="00573AB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73AB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F33C" w14:textId="77777777" w:rsidR="00AE5E21" w:rsidRDefault="00AE5E21">
      <w:r>
        <w:separator/>
      </w:r>
    </w:p>
  </w:footnote>
  <w:footnote w:type="continuationSeparator" w:id="0">
    <w:p w14:paraId="5CB802D1" w14:textId="77777777" w:rsidR="00AE5E21" w:rsidRDefault="00A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3FC3" w14:textId="77777777" w:rsidR="00EE19F8" w:rsidRDefault="00000000">
    <w:pPr>
      <w:pBdr>
        <w:bottom w:val="single" w:sz="4" w:space="4" w:color="D9C48A"/>
      </w:pBdr>
      <w:jc w:val="right"/>
    </w:pPr>
    <w:r>
      <w:rPr>
        <w:rFonts w:ascii="Calibri" w:eastAsia="Calibri" w:hAnsi="Calibri" w:cs="Calibri"/>
        <w:color w:val="5A5A5A"/>
        <w:sz w:val="16"/>
        <w:szCs w:val="16"/>
      </w:rPr>
      <w:t>ADEX 547 · Memo to Participants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201"/>
    <w:multiLevelType w:val="hybridMultilevel"/>
    <w:tmpl w:val="3B3A8582"/>
    <w:lvl w:ilvl="0" w:tplc="458A323E">
      <w:start w:val="1"/>
      <w:numFmt w:val="bullet"/>
      <w:lvlText w:val="●"/>
      <w:lvlJc w:val="left"/>
      <w:pPr>
        <w:ind w:left="720" w:hanging="360"/>
      </w:pPr>
    </w:lvl>
    <w:lvl w:ilvl="1" w:tplc="DAC685BE">
      <w:start w:val="1"/>
      <w:numFmt w:val="bullet"/>
      <w:lvlText w:val="○"/>
      <w:lvlJc w:val="left"/>
      <w:pPr>
        <w:ind w:left="1440" w:hanging="360"/>
      </w:pPr>
    </w:lvl>
    <w:lvl w:ilvl="2" w:tplc="2FBEF64C">
      <w:start w:val="1"/>
      <w:numFmt w:val="bullet"/>
      <w:lvlText w:val="■"/>
      <w:lvlJc w:val="left"/>
      <w:pPr>
        <w:ind w:left="2160" w:hanging="360"/>
      </w:pPr>
    </w:lvl>
    <w:lvl w:ilvl="3" w:tplc="4440C034">
      <w:start w:val="1"/>
      <w:numFmt w:val="bullet"/>
      <w:lvlText w:val="●"/>
      <w:lvlJc w:val="left"/>
      <w:pPr>
        <w:ind w:left="2880" w:hanging="360"/>
      </w:pPr>
    </w:lvl>
    <w:lvl w:ilvl="4" w:tplc="03FAD514">
      <w:start w:val="1"/>
      <w:numFmt w:val="bullet"/>
      <w:lvlText w:val="○"/>
      <w:lvlJc w:val="left"/>
      <w:pPr>
        <w:ind w:left="3600" w:hanging="360"/>
      </w:pPr>
    </w:lvl>
    <w:lvl w:ilvl="5" w:tplc="DCCAC6D4">
      <w:start w:val="1"/>
      <w:numFmt w:val="bullet"/>
      <w:lvlText w:val="■"/>
      <w:lvlJc w:val="left"/>
      <w:pPr>
        <w:ind w:left="4320" w:hanging="360"/>
      </w:pPr>
    </w:lvl>
    <w:lvl w:ilvl="6" w:tplc="60E0E0C6">
      <w:start w:val="1"/>
      <w:numFmt w:val="bullet"/>
      <w:lvlText w:val="●"/>
      <w:lvlJc w:val="left"/>
      <w:pPr>
        <w:ind w:left="5040" w:hanging="360"/>
      </w:pPr>
    </w:lvl>
    <w:lvl w:ilvl="7" w:tplc="B84CC838">
      <w:start w:val="1"/>
      <w:numFmt w:val="bullet"/>
      <w:lvlText w:val="●"/>
      <w:lvlJc w:val="left"/>
      <w:pPr>
        <w:ind w:left="5760" w:hanging="360"/>
      </w:pPr>
    </w:lvl>
    <w:lvl w:ilvl="8" w:tplc="A62C4F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661585"/>
    <w:multiLevelType w:val="hybridMultilevel"/>
    <w:tmpl w:val="6FB2919A"/>
    <w:lvl w:ilvl="0" w:tplc="57DE4488">
      <w:start w:val="1"/>
      <w:numFmt w:val="decimal"/>
      <w:lvlText w:val="%1."/>
      <w:lvlJc w:val="left"/>
    </w:lvl>
    <w:lvl w:ilvl="1" w:tplc="A5AE9FE8">
      <w:numFmt w:val="decimal"/>
      <w:lvlText w:val=""/>
      <w:lvlJc w:val="left"/>
    </w:lvl>
    <w:lvl w:ilvl="2" w:tplc="3190DCEE">
      <w:numFmt w:val="decimal"/>
      <w:lvlText w:val=""/>
      <w:lvlJc w:val="left"/>
    </w:lvl>
    <w:lvl w:ilvl="3" w:tplc="249CBC18">
      <w:numFmt w:val="decimal"/>
      <w:lvlText w:val=""/>
      <w:lvlJc w:val="left"/>
    </w:lvl>
    <w:lvl w:ilvl="4" w:tplc="84CE3E68">
      <w:numFmt w:val="decimal"/>
      <w:lvlText w:val=""/>
      <w:lvlJc w:val="left"/>
    </w:lvl>
    <w:lvl w:ilvl="5" w:tplc="AC98F4D8">
      <w:numFmt w:val="decimal"/>
      <w:lvlText w:val=""/>
      <w:lvlJc w:val="left"/>
    </w:lvl>
    <w:lvl w:ilvl="6" w:tplc="B94075E4">
      <w:numFmt w:val="decimal"/>
      <w:lvlText w:val=""/>
      <w:lvlJc w:val="left"/>
    </w:lvl>
    <w:lvl w:ilvl="7" w:tplc="4364BD42">
      <w:numFmt w:val="decimal"/>
      <w:lvlText w:val=""/>
      <w:lvlJc w:val="left"/>
    </w:lvl>
    <w:lvl w:ilvl="8" w:tplc="254C4FC8">
      <w:numFmt w:val="decimal"/>
      <w:lvlText w:val=""/>
      <w:lvlJc w:val="left"/>
    </w:lvl>
  </w:abstractNum>
  <w:num w:numId="1" w16cid:durableId="1469662723">
    <w:abstractNumId w:val="0"/>
    <w:lvlOverride w:ilvl="0">
      <w:startOverride w:val="1"/>
    </w:lvlOverride>
  </w:num>
  <w:num w:numId="2" w16cid:durableId="20635574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F8"/>
    <w:rsid w:val="000D7131"/>
    <w:rsid w:val="00573AB6"/>
    <w:rsid w:val="00AE5E21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F672"/>
  <w15:docId w15:val="{94C92E54-CA30-418F-90B5-9424C89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3AB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6474</Characters>
  <Application>Microsoft Office Word</Application>
  <DocSecurity>0</DocSecurity>
  <Lines>166</Lines>
  <Paragraphs>136</Paragraphs>
  <ScaleCrop>false</ScaleCrop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Hakan GÖRAL</cp:lastModifiedBy>
  <cp:revision>2</cp:revision>
  <dcterms:created xsi:type="dcterms:W3CDTF">2026-07-15T18:28:00Z</dcterms:created>
  <dcterms:modified xsi:type="dcterms:W3CDTF">2026-07-15T18:28:00Z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475d6b74,4a3eeaba,46953c8c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Genel</vt:lpwstr>
  </property>
  <property fmtid="{D5CDD505-2E9C-101B-9397-08002B2CF9AE}" pid="5" name="MSIP_Label_acff1a8a-89d5-4a8c-b5a7-ac0ac2e7842a_Enabled">
    <vt:lpwstr>true</vt:lpwstr>
  </property>
  <property fmtid="{D5CDD505-2E9C-101B-9397-08002B2CF9AE}" pid="6" name="MSIP_Label_acff1a8a-89d5-4a8c-b5a7-ac0ac2e7842a_SetDate">
    <vt:lpwstr>2026-07-15T18:28:48Z</vt:lpwstr>
  </property>
  <property fmtid="{D5CDD505-2E9C-101B-9397-08002B2CF9AE}" pid="7" name="MSIP_Label_acff1a8a-89d5-4a8c-b5a7-ac0ac2e7842a_Method">
    <vt:lpwstr>Standard</vt:lpwstr>
  </property>
  <property fmtid="{D5CDD505-2E9C-101B-9397-08002B2CF9AE}" pid="8" name="MSIP_Label_acff1a8a-89d5-4a8c-b5a7-ac0ac2e7842a_Name">
    <vt:lpwstr>Genel</vt:lpwstr>
  </property>
  <property fmtid="{D5CDD505-2E9C-101B-9397-08002B2CF9AE}" pid="9" name="MSIP_Label_acff1a8a-89d5-4a8c-b5a7-ac0ac2e7842a_SiteId">
    <vt:lpwstr>f39afd33-db8a-440d-bdb5-343eeee32707</vt:lpwstr>
  </property>
  <property fmtid="{D5CDD505-2E9C-101B-9397-08002B2CF9AE}" pid="10" name="MSIP_Label_acff1a8a-89d5-4a8c-b5a7-ac0ac2e7842a_ActionId">
    <vt:lpwstr>5a1cbe61-41eb-42af-9365-8b319b1d7daf</vt:lpwstr>
  </property>
  <property fmtid="{D5CDD505-2E9C-101B-9397-08002B2CF9AE}" pid="11" name="MSIP_Label_acff1a8a-89d5-4a8c-b5a7-ac0ac2e7842a_ContentBits">
    <vt:lpwstr>2</vt:lpwstr>
  </property>
  <property fmtid="{D5CDD505-2E9C-101B-9397-08002B2CF9AE}" pid="12" name="MSIP_Label_acff1a8a-89d5-4a8c-b5a7-ac0ac2e7842a_Tag">
    <vt:lpwstr>10, 3, 0, 1</vt:lpwstr>
  </property>
</Properties>
</file>